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26</w:t>
      </w:r>
      <w:r>
        <w:rPr>
          <w:b/>
        </w:rPr>
        <w:tab/>
      </w:r>
      <w:r>
        <w:rPr>
          <w:rFonts w:hint="eastAsia"/>
          <w:b/>
        </w:rPr>
        <w:t>R2-2405020</w:t>
      </w:r>
      <w:bookmarkStart w:id="4" w:name="_GoBack"/>
      <w:bookmarkEnd w:id="4"/>
    </w:p>
    <w:p>
      <w:pPr>
        <w:pStyle w:val="56"/>
        <w:jc w:val="left"/>
        <w:rPr>
          <w:rFonts w:hint="eastAsia" w:cs="Arial"/>
          <w:sz w:val="20"/>
        </w:rPr>
      </w:pPr>
      <w:r>
        <w:rPr>
          <w:rFonts w:hint="eastAsia" w:cs="Arial"/>
          <w:sz w:val="20"/>
        </w:rPr>
        <w:t>Fukuoka, Japan, May 20</w:t>
      </w:r>
      <w:r>
        <w:rPr>
          <w:rFonts w:hint="eastAsia" w:eastAsia="宋体" w:cs="Arial"/>
          <w:sz w:val="20"/>
          <w:vertAlign w:val="superscript"/>
          <w:lang w:val="en-US" w:eastAsia="zh-CN"/>
        </w:rPr>
        <w:t>th</w:t>
      </w:r>
      <w:r>
        <w:rPr>
          <w:rFonts w:hint="eastAsia" w:cs="Arial"/>
          <w:sz w:val="20"/>
        </w:rPr>
        <w:t xml:space="preserve"> - 24</w:t>
      </w:r>
      <w:r>
        <w:rPr>
          <w:rFonts w:hint="eastAsia" w:eastAsia="宋体" w:cs="Arial"/>
          <w:sz w:val="20"/>
          <w:vertAlign w:val="superscript"/>
          <w:lang w:val="en-US" w:eastAsia="zh-CN"/>
        </w:rPr>
        <w:t>th</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cs="Arial" w:eastAsiaTheme="minorEastAsia"/>
          <w:sz w:val="20"/>
          <w:lang w:val="en-US" w:eastAsia="zh-CN"/>
        </w:rPr>
        <w:t>Support of</w:t>
      </w:r>
      <w:r>
        <w:rPr>
          <w:rFonts w:cs="Arial" w:eastAsiaTheme="minorEastAsia"/>
          <w:sz w:val="20"/>
        </w:rPr>
        <w:t xml:space="preserve"> </w:t>
      </w:r>
      <w:r>
        <w:rPr>
          <w:rFonts w:hint="eastAsia" w:cs="Arial" w:eastAsiaTheme="minorEastAsia"/>
          <w:sz w:val="20"/>
          <w:lang w:val="en-US" w:eastAsia="zh-CN"/>
        </w:rPr>
        <w:t>MBS broadcast service for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#125bis</w:t>
      </w:r>
      <w:r>
        <w:rPr>
          <w:rFonts w:eastAsiaTheme="minorEastAsia"/>
          <w:bCs/>
        </w:rPr>
        <w:t xml:space="preserve"> 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4"/>
          <w:bottom w:val="single" w:color="auto" w:sz="4" w:space="1"/>
          <w:right w:val="single" w:color="auto" w:sz="4" w:space="4"/>
        </w:pBdr>
      </w:pPr>
      <w:r>
        <w:t>Agreements:</w:t>
      </w:r>
    </w:p>
    <w:p>
      <w:pPr>
        <w:pStyle w:val="54"/>
        <w:numPr>
          <w:ilvl w:val="0"/>
          <w:numId w:val="11"/>
        </w:numPr>
        <w:pBdr>
          <w:top w:val="single" w:color="auto" w:sz="4" w:space="1"/>
          <w:left w:val="single" w:color="auto" w:sz="4" w:space="4"/>
          <w:bottom w:val="single" w:color="auto" w:sz="4" w:space="1"/>
          <w:right w:val="single" w:color="auto" w:sz="4" w:space="4"/>
        </w:pBdr>
      </w:pPr>
      <w:r>
        <w:t>For MBS broadcast service we don’t restrict the work to any satellite constellation type</w:t>
      </w:r>
    </w:p>
    <w:p>
      <w:pPr>
        <w:pStyle w:val="54"/>
        <w:numPr>
          <w:ilvl w:val="0"/>
          <w:numId w:val="11"/>
        </w:numPr>
        <w:pBdr>
          <w:top w:val="single" w:color="auto" w:sz="4" w:space="1"/>
          <w:left w:val="single" w:color="auto" w:sz="4" w:space="4"/>
          <w:bottom w:val="single" w:color="auto" w:sz="4" w:space="1"/>
          <w:right w:val="single" w:color="auto" w:sz="4" w:space="4"/>
        </w:pBdr>
      </w:pPr>
      <w:r>
        <w:t>We prioritize working on a solution for MBS broadcast but we don’t preclude other broadcast services, namely ETWS</w:t>
      </w:r>
    </w:p>
    <w:p>
      <w:pPr>
        <w:pStyle w:val="54"/>
        <w:numPr>
          <w:ilvl w:val="0"/>
          <w:numId w:val="11"/>
        </w:numPr>
        <w:pBdr>
          <w:top w:val="single" w:color="auto" w:sz="4" w:space="1"/>
          <w:left w:val="single" w:color="auto" w:sz="4" w:space="4"/>
          <w:bottom w:val="single" w:color="auto" w:sz="4" w:space="1"/>
          <w:right w:val="single" w:color="auto" w:sz="4" w:space="4"/>
        </w:pBdr>
        <w:rPr>
          <w:lang w:val="sv-SE"/>
        </w:rPr>
      </w:pPr>
      <w:r>
        <w:rPr>
          <w:lang w:val="sv-SE"/>
        </w:rPr>
        <w:t>We will cover at least the case where the indicated intended service area covers a portion of a NTN cell</w:t>
      </w:r>
    </w:p>
    <w:p>
      <w:pPr>
        <w:pStyle w:val="54"/>
        <w:numPr>
          <w:ilvl w:val="0"/>
          <w:numId w:val="11"/>
        </w:numPr>
        <w:pBdr>
          <w:top w:val="single" w:color="auto" w:sz="4" w:space="1"/>
          <w:left w:val="single" w:color="auto" w:sz="4" w:space="4"/>
          <w:bottom w:val="single" w:color="auto" w:sz="4" w:space="1"/>
          <w:right w:val="single" w:color="auto" w:sz="4" w:space="4"/>
        </w:pBdr>
        <w:rPr>
          <w:lang w:val="sv-SE"/>
        </w:rPr>
      </w:pPr>
      <w:r>
        <w:rPr>
          <w:lang w:val="sv-SE"/>
        </w:rPr>
        <w:t>The intended service area can cover the area of more than one NTN cells (or portions thereof)</w:t>
      </w:r>
    </w:p>
    <w:p>
      <w:pPr>
        <w:pStyle w:val="54"/>
        <w:numPr>
          <w:ilvl w:val="0"/>
          <w:numId w:val="11"/>
        </w:numPr>
        <w:pBdr>
          <w:top w:val="single" w:color="auto" w:sz="4" w:space="1"/>
          <w:left w:val="single" w:color="auto" w:sz="4" w:space="4"/>
          <w:bottom w:val="single" w:color="auto" w:sz="4" w:space="1"/>
          <w:right w:val="single" w:color="auto" w:sz="4" w:space="4"/>
        </w:pBdr>
        <w:rPr>
          <w:lang w:val="sv-SE"/>
        </w:rPr>
      </w:pPr>
      <w:r>
        <w:rPr>
          <w:lang w:val="sv-SE"/>
        </w:rPr>
        <w:t>Can discuss next time whether the broadcast transmission can be limited to the intended service area only (i.e. no transmission happens outside of the intended serive area)</w:t>
      </w:r>
    </w:p>
    <w:p>
      <w:pPr>
        <w:pStyle w:val="54"/>
        <w:numPr>
          <w:ilvl w:val="0"/>
          <w:numId w:val="11"/>
        </w:numPr>
        <w:pBdr>
          <w:top w:val="single" w:color="auto" w:sz="4" w:space="1"/>
          <w:left w:val="single" w:color="auto" w:sz="4" w:space="4"/>
          <w:bottom w:val="single" w:color="auto" w:sz="4" w:space="1"/>
          <w:right w:val="single" w:color="auto" w:sz="4" w:space="4"/>
        </w:pBdr>
      </w:pPr>
      <w:r>
        <w:t>At least the following geographical area formats to model service area can be further considered (the signalling of other information than the geographical information can be considered):</w:t>
      </w:r>
    </w:p>
    <w:p>
      <w:pPr>
        <w:pStyle w:val="54"/>
        <w:pBdr>
          <w:top w:val="single" w:color="auto" w:sz="4" w:space="1"/>
          <w:left w:val="single" w:color="auto" w:sz="4" w:space="4"/>
          <w:bottom w:val="single" w:color="auto" w:sz="4" w:space="1"/>
          <w:right w:val="single" w:color="auto" w:sz="4" w:space="4"/>
        </w:pBdr>
        <w:ind w:left="1259" w:firstLine="0"/>
      </w:pPr>
      <w:r>
        <w:tab/>
      </w:r>
      <w:r>
        <w:t>- Circles (like for TN coverage)</w:t>
      </w:r>
    </w:p>
    <w:p>
      <w:pPr>
        <w:pStyle w:val="54"/>
        <w:pBdr>
          <w:top w:val="single" w:color="auto" w:sz="4" w:space="1"/>
          <w:left w:val="single" w:color="auto" w:sz="4" w:space="4"/>
          <w:bottom w:val="single" w:color="auto" w:sz="4" w:space="1"/>
          <w:right w:val="single" w:color="auto" w:sz="4" w:space="4"/>
        </w:pBdr>
      </w:pPr>
      <w:r>
        <w:tab/>
      </w:r>
      <w:r>
        <w:t>- Geographical area information, e.g. via polygons, to better approximate the intended shape of service area</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MBS broadcast</w:t>
      </w:r>
      <w:r>
        <w:rPr>
          <w:rFonts w:cs="Arial"/>
        </w:rPr>
        <w:t xml:space="preserve"> </w:t>
      </w:r>
      <w:r>
        <w:rPr>
          <w:rFonts w:hint="eastAsia" w:eastAsia="宋体" w:cs="Arial"/>
          <w:lang w:val="en-US" w:eastAsia="zh-CN"/>
        </w:rPr>
        <w:t xml:space="preserve">service </w:t>
      </w:r>
      <w:r>
        <w:rPr>
          <w:rFonts w:cs="Arial"/>
        </w:rPr>
        <w:t xml:space="preserve">for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default" w:eastAsiaTheme="minorEastAsia"/>
          <w:b/>
          <w:bCs w:val="0"/>
          <w:sz w:val="24"/>
          <w:szCs w:val="24"/>
          <w:lang w:val="en-US" w:eastAsia="zh-CN"/>
        </w:rPr>
      </w:pPr>
      <w:r>
        <w:rPr>
          <w:rFonts w:hint="eastAsia" w:eastAsiaTheme="minorEastAsia"/>
          <w:b/>
          <w:bCs w:val="0"/>
          <w:sz w:val="24"/>
          <w:szCs w:val="24"/>
          <w:lang w:val="en-US" w:eastAsia="zh-CN"/>
        </w:rPr>
        <w:t>2.1 Use case</w:t>
      </w:r>
    </w:p>
    <w:p>
      <w:pPr>
        <w:pStyle w:val="60"/>
        <w:spacing w:after="0"/>
        <w:ind w:left="0" w:firstLine="0"/>
        <w:rPr>
          <w:rFonts w:hint="default" w:eastAsiaTheme="minorEastAsia"/>
          <w:bCs/>
          <w:lang w:val="en-US" w:eastAsia="zh-CN"/>
        </w:rPr>
      </w:pPr>
      <w:r>
        <w:rPr>
          <w:rFonts w:hint="eastAsia" w:eastAsiaTheme="minorEastAsia"/>
          <w:bCs/>
          <w:lang w:val="en-US" w:eastAsia="zh-CN"/>
        </w:rPr>
        <w:t>In last meeting we discussed the following 3 scenarios for MBS broadcast over NTN:</w:t>
      </w:r>
    </w:p>
    <w:p>
      <w:pPr>
        <w:pStyle w:val="60"/>
        <w:spacing w:after="0"/>
        <w:ind w:left="0" w:firstLine="567" w:firstLineChars="0"/>
        <w:rPr>
          <w:rFonts w:hint="eastAsia" w:eastAsiaTheme="minorEastAsia"/>
          <w:bCs/>
          <w:i/>
          <w:iCs/>
          <w:lang w:val="en-US" w:eastAsia="zh-CN"/>
        </w:rPr>
      </w:pPr>
      <w:r>
        <w:rPr>
          <w:rFonts w:hint="eastAsia" w:eastAsiaTheme="minorEastAsia"/>
          <w:b/>
          <w:bCs w:val="0"/>
          <w:i/>
          <w:iCs/>
          <w:lang w:val="en-US" w:eastAsia="zh-CN"/>
        </w:rPr>
        <w:t xml:space="preserve">S1: </w:t>
      </w:r>
      <w:r>
        <w:rPr>
          <w:rFonts w:hint="eastAsia" w:eastAsiaTheme="minorEastAsia"/>
          <w:bCs/>
          <w:i/>
          <w:iCs/>
          <w:lang w:val="en-US" w:eastAsia="zh-CN"/>
        </w:rPr>
        <w:t>The service area is a portion of an NTN cell, and the Content of the service can only be received within the service area (e.g. broadcast via a dedicated beam(s) ).</w:t>
      </w:r>
    </w:p>
    <w:p>
      <w:pPr>
        <w:pStyle w:val="60"/>
        <w:spacing w:after="0"/>
        <w:ind w:left="0" w:firstLine="567" w:firstLineChars="0"/>
        <w:rPr>
          <w:rFonts w:hint="eastAsia" w:eastAsiaTheme="minorEastAsia"/>
          <w:bCs/>
          <w:i/>
          <w:iCs/>
          <w:lang w:val="en-US" w:eastAsia="zh-CN"/>
        </w:rPr>
      </w:pPr>
      <w:r>
        <w:rPr>
          <w:rFonts w:hint="eastAsia" w:eastAsiaTheme="minorEastAsia"/>
          <w:b/>
          <w:bCs w:val="0"/>
          <w:i/>
          <w:iCs/>
          <w:lang w:val="en-US" w:eastAsia="zh-CN"/>
        </w:rPr>
        <w:t xml:space="preserve">S2: </w:t>
      </w:r>
      <w:r>
        <w:rPr>
          <w:rFonts w:hint="eastAsia" w:eastAsiaTheme="minorEastAsia"/>
          <w:bCs/>
          <w:i/>
          <w:iCs/>
          <w:lang w:val="en-US" w:eastAsia="zh-CN"/>
        </w:rPr>
        <w:t>The service area is a portion of an NTN cell, but the content of the service can be received within the whole cell.</w:t>
      </w:r>
    </w:p>
    <w:p>
      <w:pPr>
        <w:pStyle w:val="60"/>
        <w:spacing w:after="0"/>
        <w:ind w:left="0" w:firstLine="567" w:firstLineChars="0"/>
        <w:rPr>
          <w:rFonts w:hint="eastAsia" w:eastAsiaTheme="minorEastAsia"/>
          <w:bCs/>
          <w:lang w:val="en-US" w:eastAsia="zh-CN"/>
        </w:rPr>
      </w:pPr>
      <w:r>
        <w:rPr>
          <w:rFonts w:hint="eastAsia" w:eastAsiaTheme="minorEastAsia"/>
          <w:b/>
          <w:bCs w:val="0"/>
          <w:i/>
          <w:iCs/>
          <w:lang w:val="en-US" w:eastAsia="zh-CN"/>
        </w:rPr>
        <w:t xml:space="preserve">S3: </w:t>
      </w:r>
      <w:r>
        <w:rPr>
          <w:rFonts w:hint="eastAsia" w:eastAsiaTheme="minorEastAsia"/>
          <w:bCs/>
          <w:i/>
          <w:iCs/>
          <w:lang w:val="en-US" w:eastAsia="zh-CN"/>
        </w:rPr>
        <w:t>The intended service area consists of a list of NTN cell(s)/tracking area(s).</w:t>
      </w:r>
    </w:p>
    <w:p>
      <w:pPr>
        <w:pStyle w:val="60"/>
        <w:spacing w:after="0"/>
        <w:ind w:left="0" w:firstLine="0"/>
        <w:rPr>
          <w:rFonts w:hint="eastAsia" w:eastAsiaTheme="minorEastAsia"/>
          <w:bCs/>
          <w:lang w:val="en-US" w:eastAsia="zh-CN"/>
        </w:rPr>
      </w:pPr>
      <w:r>
        <w:rPr>
          <w:rFonts w:hint="eastAsia" w:eastAsiaTheme="minorEastAsia"/>
          <w:bCs/>
          <w:lang w:val="en-US" w:eastAsia="zh-CN"/>
        </w:rPr>
        <w:t>And achieved agreements as follows:</w:t>
      </w:r>
    </w:p>
    <w:tbl>
      <w:tblPr>
        <w:tblStyle w:val="46"/>
        <w:tblW w:w="0" w:type="auto"/>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4" w:type="dxa"/>
          </w:tcPr>
          <w:p>
            <w:pPr>
              <w:pStyle w:val="107"/>
              <w:keepNext w:val="0"/>
              <w:keepLines w:val="0"/>
              <w:pageBreakBefore w:val="0"/>
              <w:widowControl/>
              <w:kinsoku/>
              <w:wordWrap/>
              <w:overflowPunct/>
              <w:topLinePunct w:val="0"/>
              <w:autoSpaceDE/>
              <w:autoSpaceDN/>
              <w:bidi w:val="0"/>
              <w:adjustRightInd/>
              <w:snapToGrid/>
              <w:ind w:left="1259" w:firstLine="0"/>
              <w:textAlignment w:val="auto"/>
              <w:rPr>
                <w:lang w:val="sv-SE"/>
              </w:rPr>
            </w:pPr>
            <w:r>
              <w:rPr>
                <w:lang w:val="sv-SE"/>
              </w:rPr>
              <w:t>We will cover at least the case where the indicated intended service area covers a portion of a NTN cell</w:t>
            </w:r>
          </w:p>
          <w:p>
            <w:pPr>
              <w:pStyle w:val="107"/>
              <w:keepNext w:val="0"/>
              <w:keepLines w:val="0"/>
              <w:pageBreakBefore w:val="0"/>
              <w:widowControl/>
              <w:kinsoku/>
              <w:wordWrap/>
              <w:overflowPunct/>
              <w:topLinePunct w:val="0"/>
              <w:autoSpaceDE/>
              <w:autoSpaceDN/>
              <w:bidi w:val="0"/>
              <w:adjustRightInd/>
              <w:snapToGrid/>
              <w:ind w:left="1259" w:firstLine="0"/>
              <w:textAlignment w:val="auto"/>
              <w:rPr>
                <w:rFonts w:hint="default" w:eastAsiaTheme="minorEastAsia"/>
                <w:bCs/>
                <w:vertAlign w:val="baseline"/>
                <w:lang w:val="en-US" w:eastAsia="zh-CN"/>
              </w:rPr>
            </w:pPr>
            <w:r>
              <w:rPr>
                <w:lang w:val="sv-SE"/>
              </w:rPr>
              <w:t>The intended service area can cover the area of more than one NTN cells (or portions thereof)</w:t>
            </w:r>
          </w:p>
        </w:tc>
      </w:tr>
    </w:tbl>
    <w:p>
      <w:pPr>
        <w:pStyle w:val="60"/>
        <w:spacing w:after="0"/>
        <w:ind w:left="0" w:firstLine="0"/>
        <w:rPr>
          <w:rFonts w:hint="default" w:eastAsiaTheme="minorEastAsia"/>
          <w:bCs/>
          <w:lang w:val="en-US" w:eastAsia="zh-CN"/>
        </w:rPr>
      </w:pPr>
      <w:r>
        <w:rPr>
          <w:rFonts w:hint="eastAsia" w:eastAsiaTheme="minorEastAsia"/>
          <w:bCs/>
          <w:lang w:val="en-US" w:eastAsia="zh-CN"/>
        </w:rPr>
        <w:t>W</w:t>
      </w:r>
      <w:r>
        <w:rPr>
          <w:rFonts w:hint="default" w:eastAsiaTheme="minorEastAsia"/>
          <w:bCs/>
          <w:lang w:val="en-US" w:eastAsia="zh-CN"/>
        </w:rPr>
        <w:t>hether the broadcast transmission can be limited to the intended service area only (i.e. no transmission happens outside of the intended ser</w:t>
      </w:r>
      <w:r>
        <w:rPr>
          <w:rFonts w:hint="eastAsia" w:eastAsiaTheme="minorEastAsia"/>
          <w:bCs/>
          <w:lang w:val="en-US" w:eastAsia="zh-CN"/>
        </w:rPr>
        <w:t>vice</w:t>
      </w:r>
      <w:r>
        <w:rPr>
          <w:rFonts w:hint="default" w:eastAsiaTheme="minorEastAsia"/>
          <w:bCs/>
          <w:lang w:val="en-US" w:eastAsia="zh-CN"/>
        </w:rPr>
        <w:t xml:space="preserve"> area)</w:t>
      </w:r>
      <w:r>
        <w:rPr>
          <w:rFonts w:hint="eastAsia" w:eastAsiaTheme="minorEastAsia"/>
          <w:bCs/>
          <w:lang w:val="en-US" w:eastAsia="zh-CN"/>
        </w:rPr>
        <w:t xml:space="preserve"> is postponed due to that some companies have concern about implementation complexity and even think it is impossible. From our point of view, the intended service area may not be exactly equal to the coverage of the satellite footprint, especially the case that the service area is smaller than the satellite footprint (as shown in figure 1 and figure 2 for single satellite beam and multiple satellite beams respectively), it is not feasible to only provide service in the actual intended service area based on broadcast manner. Therefore we could consider that the smallest granularity of broadcast transmission is the coverage of a satellite beam.</w:t>
      </w:r>
    </w:p>
    <w:p>
      <w:pPr>
        <w:pStyle w:val="60"/>
        <w:spacing w:after="0"/>
        <w:ind w:left="0" w:firstLine="0"/>
        <w:rPr>
          <w:rFonts w:hint="default" w:eastAsiaTheme="minorEastAsia"/>
          <w:bCs/>
          <w:lang w:val="en-US" w:eastAsia="zh-CN"/>
        </w:rPr>
      </w:pPr>
      <w:r>
        <w:rPr>
          <w:rFonts w:hint="default" w:eastAsiaTheme="minorEastAsia"/>
          <w:bCs/>
          <w:lang w:val="en-US" w:eastAsia="zh-CN"/>
        </w:rPr>
        <w:object>
          <v:shape id="_x0000_i1025" o:spt="75" type="#_x0000_t75" style="height:163.5pt;width:184.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eastAsia" w:eastAsiaTheme="minorEastAsia"/>
          <w:bCs/>
          <w:lang w:val="en-US" w:eastAsia="zh-CN"/>
        </w:rPr>
        <w:t xml:space="preserve">           </w:t>
      </w:r>
      <w:r>
        <w:rPr>
          <w:rFonts w:hint="default" w:eastAsiaTheme="minorEastAsia"/>
          <w:bCs/>
          <w:lang w:val="en-US" w:eastAsia="zh-CN"/>
        </w:rPr>
        <w:object>
          <v:shape id="_x0000_i1026" o:spt="75" type="#_x0000_t75" style="height:163.75pt;width:204.3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pPr>
        <w:pStyle w:val="60"/>
        <w:spacing w:after="0"/>
        <w:ind w:left="0" w:firstLine="402" w:firstLineChars="200"/>
        <w:rPr>
          <w:rFonts w:hint="default" w:eastAsiaTheme="minorEastAsia"/>
          <w:b/>
          <w:bCs w:val="0"/>
          <w:lang w:val="en-US" w:eastAsia="zh-CN"/>
        </w:rPr>
      </w:pPr>
      <w:r>
        <w:rPr>
          <w:rFonts w:hint="eastAsia" w:eastAsiaTheme="minorEastAsia"/>
          <w:b/>
          <w:bCs w:val="0"/>
          <w:lang w:val="en-US" w:eastAsia="zh-CN"/>
        </w:rPr>
        <w:t>Figure 1 Single beam case                               Figure 2 Multiple beams case</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1: It is proposed that the smallest granularity of broadcast transmission is the coverage of a satellite beam.</w:t>
      </w:r>
    </w:p>
    <w:p>
      <w:pPr>
        <w:pStyle w:val="60"/>
        <w:spacing w:after="0"/>
        <w:ind w:left="0" w:firstLine="0"/>
        <w:rPr>
          <w:rFonts w:hint="default" w:eastAsiaTheme="minorEastAsia"/>
          <w:b/>
          <w:bCs w:val="0"/>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default" w:eastAsiaTheme="minorEastAsia"/>
          <w:bCs/>
          <w:lang w:val="en-US" w:eastAsia="zh-CN"/>
        </w:rPr>
      </w:pPr>
      <w:r>
        <w:rPr>
          <w:rFonts w:hint="eastAsia" w:eastAsiaTheme="minorEastAsia"/>
          <w:b/>
          <w:bCs w:val="0"/>
          <w:sz w:val="24"/>
          <w:szCs w:val="24"/>
          <w:lang w:val="en-US" w:eastAsia="zh-CN"/>
        </w:rPr>
        <w:t>2.2 Service area indication</w:t>
      </w:r>
    </w:p>
    <w:p>
      <w:pPr>
        <w:pStyle w:val="60"/>
        <w:spacing w:after="0"/>
        <w:ind w:left="0" w:firstLine="0"/>
        <w:rPr>
          <w:rFonts w:hint="eastAsia" w:eastAsiaTheme="minorEastAsia"/>
          <w:bCs/>
          <w:lang w:val="en-US" w:eastAsia="zh-CN"/>
        </w:rPr>
      </w:pPr>
      <w:r>
        <w:rPr>
          <w:rFonts w:hint="eastAsia" w:eastAsiaTheme="minorEastAsia"/>
          <w:bCs/>
          <w:lang w:val="en-US" w:eastAsia="zh-CN"/>
        </w:rPr>
        <w:t>Regarding the service area indication, we agreed that at least the following geographical area formats to model service area can be further considered:</w:t>
      </w:r>
    </w:p>
    <w:p>
      <w:pPr>
        <w:pStyle w:val="60"/>
        <w:spacing w:after="0"/>
        <w:ind w:left="0" w:firstLine="567" w:firstLineChars="0"/>
        <w:rPr>
          <w:rFonts w:hint="default" w:eastAsiaTheme="minorEastAsia"/>
          <w:b/>
          <w:bCs w:val="0"/>
          <w:lang w:val="en-US" w:eastAsia="zh-CN"/>
        </w:rPr>
      </w:pPr>
      <w:r>
        <w:rPr>
          <w:rFonts w:hint="default" w:eastAsiaTheme="minorEastAsia"/>
          <w:b/>
          <w:bCs w:val="0"/>
          <w:lang w:val="en-US" w:eastAsia="zh-CN"/>
        </w:rPr>
        <w:t>- Circles (like for TN coverage)</w:t>
      </w:r>
    </w:p>
    <w:p>
      <w:pPr>
        <w:pStyle w:val="60"/>
        <w:spacing w:after="0"/>
        <w:ind w:left="0" w:firstLine="567" w:firstLineChars="0"/>
        <w:rPr>
          <w:rFonts w:hint="default" w:eastAsiaTheme="minorEastAsia"/>
          <w:bCs/>
          <w:lang w:val="en-US" w:eastAsia="zh-CN"/>
        </w:rPr>
      </w:pPr>
      <w:r>
        <w:rPr>
          <w:rFonts w:hint="default" w:eastAsiaTheme="minorEastAsia"/>
          <w:b/>
          <w:bCs w:val="0"/>
          <w:lang w:val="en-US" w:eastAsia="zh-CN"/>
        </w:rPr>
        <w:t>- Geographical area information</w:t>
      </w:r>
      <w:r>
        <w:rPr>
          <w:rFonts w:hint="default" w:eastAsiaTheme="minorEastAsia"/>
          <w:bCs/>
          <w:lang w:val="en-US" w:eastAsia="zh-CN"/>
        </w:rPr>
        <w:t>, e.g. via polygons, to better approximate the intended shape of service area</w:t>
      </w:r>
    </w:p>
    <w:p>
      <w:pPr>
        <w:pStyle w:val="60"/>
        <w:numPr>
          <w:ilvl w:val="0"/>
          <w:numId w:val="0"/>
        </w:numPr>
        <w:spacing w:after="0"/>
        <w:ind w:leftChars="0"/>
        <w:rPr>
          <w:rFonts w:hint="eastAsia" w:eastAsia="宋体"/>
          <w:iCs/>
          <w:lang w:val="en-US" w:eastAsia="zh-CN"/>
        </w:rPr>
      </w:pPr>
      <w:r>
        <w:rPr>
          <w:rFonts w:hint="eastAsia" w:eastAsiaTheme="minorEastAsia"/>
          <w:bCs/>
          <w:lang w:val="en-US" w:eastAsia="zh-CN"/>
        </w:rPr>
        <w:t xml:space="preserve">The </w:t>
      </w:r>
      <w:r>
        <w:rPr>
          <w:rFonts w:hint="eastAsia" w:eastAsiaTheme="minorEastAsia"/>
          <w:b/>
          <w:bCs w:val="0"/>
          <w:lang w:val="en-US" w:eastAsia="zh-CN"/>
        </w:rPr>
        <w:t>option 1 (circles)</w:t>
      </w:r>
      <w:r>
        <w:rPr>
          <w:rFonts w:hint="eastAsia" w:eastAsiaTheme="minorEastAsia"/>
          <w:bCs/>
          <w:lang w:val="en-US" w:eastAsia="zh-CN"/>
        </w:rPr>
        <w:t xml:space="preserve"> is </w:t>
      </w:r>
      <w:r>
        <w:rPr>
          <w:rFonts w:hint="eastAsia" w:eastAsiaTheme="minorEastAsia"/>
          <w:b w:val="0"/>
          <w:bCs/>
          <w:lang w:val="en-US" w:eastAsia="zh-CN"/>
        </w:rPr>
        <w:t xml:space="preserve">a simple and similar scheme to </w:t>
      </w:r>
      <w:r>
        <w:rPr>
          <w:b w:val="0"/>
          <w:bCs/>
          <w:iCs/>
        </w:rPr>
        <w:t>TN coverage information</w:t>
      </w:r>
      <w:r>
        <w:rPr>
          <w:rFonts w:hint="eastAsia" w:eastAsia="宋体"/>
          <w:b w:val="0"/>
          <w:bCs/>
          <w:iCs/>
          <w:lang w:val="en-US" w:eastAsia="zh-CN"/>
        </w:rPr>
        <w:t xml:space="preserve"> introduced in NTN R18 to </w:t>
      </w:r>
      <w:r>
        <w:rPr>
          <w:b w:val="0"/>
          <w:bCs/>
          <w:iCs/>
        </w:rPr>
        <w:t>assist</w:t>
      </w:r>
      <w:r>
        <w:rPr>
          <w:rFonts w:hint="eastAsia" w:eastAsia="宋体"/>
          <w:b w:val="0"/>
          <w:bCs/>
          <w:iCs/>
          <w:lang w:val="en-US" w:eastAsia="zh-CN"/>
        </w:rPr>
        <w:t xml:space="preserve"> TN</w:t>
      </w:r>
      <w:r>
        <w:rPr>
          <w:b w:val="0"/>
          <w:bCs/>
          <w:iCs/>
        </w:rPr>
        <w:t xml:space="preserve"> neighbour cell measurements</w:t>
      </w:r>
      <w:r>
        <w:rPr>
          <w:rFonts w:hint="eastAsia" w:eastAsia="宋体"/>
          <w:b w:val="0"/>
          <w:bCs w:val="0"/>
          <w:iCs/>
          <w:lang w:val="en-US" w:eastAsia="zh-CN"/>
        </w:rPr>
        <w:t xml:space="preserve">. For service area indication, we could consider to introduce a new IE (e.g. IntendedServiceAreaInfo-r19) as follows to </w:t>
      </w:r>
      <w:r>
        <w:rPr>
          <w:rFonts w:hint="eastAsia" w:eastAsia="宋体"/>
          <w:iCs/>
          <w:lang w:val="en-US" w:eastAsia="zh-CN"/>
        </w:rPr>
        <w:t>provide intended service area ID, service area reference location and distance radius information to UE. Then UE receive the broadcast service based on whether in the service area or whether interested in the service.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rPr>
          <w:rFonts w:hint="eastAsia" w:eastAsia="宋体"/>
          <w:iCs/>
          <w:lang w:val="en-US" w:eastAsia="zh-CN"/>
        </w:rPr>
      </w:pPr>
      <w:r>
        <w:rPr>
          <w:rFonts w:hint="eastAsia" w:eastAsia="宋体"/>
          <w:b/>
          <w:bCs/>
          <w:iCs/>
          <w:lang w:val="en-US" w:eastAsia="zh-CN"/>
        </w:rPr>
        <w:t xml:space="preserve">Option 2 (Geographical area information, </w:t>
      </w:r>
      <w:r>
        <w:rPr>
          <w:rFonts w:hint="eastAsia" w:eastAsia="宋体"/>
          <w:b w:val="0"/>
          <w:bCs w:val="0"/>
          <w:iCs/>
          <w:lang w:val="en-US" w:eastAsia="zh-CN"/>
        </w:rPr>
        <w:t>e.g. via polygons, to better approximate the intended shape of service area</w:t>
      </w:r>
      <w:r>
        <w:rPr>
          <w:rFonts w:hint="eastAsia" w:eastAsia="宋体"/>
          <w:b/>
          <w:bCs/>
          <w:iCs/>
          <w:lang w:val="en-US" w:eastAsia="zh-CN"/>
        </w:rPr>
        <w:t>)</w:t>
      </w:r>
      <w:r>
        <w:rPr>
          <w:rFonts w:hint="eastAsia" w:eastAsia="宋体"/>
          <w:iCs/>
          <w:lang w:val="en-US" w:eastAsia="zh-CN"/>
        </w:rPr>
        <w:t xml:space="preserve"> could provide a more precise service area than option 1. However, the overhead is obviously higher than option 1. For example, </w:t>
      </w:r>
      <w:r>
        <w:t>polygon shape</w:t>
      </w:r>
      <w:r>
        <w:rPr>
          <w:rFonts w:hint="default"/>
          <w:lang w:val="en-US"/>
        </w:rPr>
        <w:t xml:space="preserve"> description needs a list of </w:t>
      </w:r>
      <w:r>
        <w:rPr>
          <w:rFonts w:hint="eastAsia" w:eastAsia="宋体"/>
          <w:lang w:val="en-US" w:eastAsia="zh-CN"/>
        </w:rPr>
        <w:t xml:space="preserve">coordinate </w:t>
      </w:r>
      <w:r>
        <w:rPr>
          <w:rFonts w:hint="default"/>
          <w:lang w:val="en-US"/>
        </w:rPr>
        <w:t xml:space="preserve">locations, the more location, the more accurate, which </w:t>
      </w:r>
      <w:r>
        <w:rPr>
          <w:rFonts w:hint="eastAsia" w:eastAsia="宋体"/>
          <w:lang w:val="en-US" w:eastAsia="zh-CN"/>
        </w:rPr>
        <w:t>would</w:t>
      </w:r>
      <w:r>
        <w:rPr>
          <w:rFonts w:hint="default"/>
          <w:lang w:val="en-US"/>
        </w:rPr>
        <w:t xml:space="preserve"> introduce larger overhead</w:t>
      </w:r>
      <w:r>
        <w:rPr>
          <w:rFonts w:hint="eastAsia" w:eastAsia="宋体"/>
          <w:lang w:val="en-US" w:eastAsia="zh-CN"/>
        </w:rPr>
        <w:t>.</w:t>
      </w:r>
    </w:p>
    <w:p>
      <w:pPr>
        <w:pStyle w:val="60"/>
        <w:numPr>
          <w:ilvl w:val="0"/>
          <w:numId w:val="0"/>
        </w:numPr>
        <w:spacing w:after="0"/>
        <w:rPr>
          <w:rFonts w:hint="default" w:eastAsia="宋体"/>
          <w:i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Option </w:t>
      </w:r>
      <w:r>
        <w:rPr>
          <w:rFonts w:hint="eastAsia"/>
          <w:b/>
          <w:bCs/>
          <w:lang w:val="en-US" w:eastAsia="zh-CN"/>
        </w:rPr>
        <w:t>2</w:t>
      </w:r>
      <w:r>
        <w:rPr>
          <w:rFonts w:hint="default"/>
          <w:b/>
          <w:bCs/>
          <w:lang w:val="en-US" w:eastAsia="zh-CN"/>
        </w:rPr>
        <w:t xml:space="preserve"> has overhead issue</w:t>
      </w:r>
      <w:r>
        <w:rPr>
          <w:rFonts w:hint="eastAsia"/>
          <w:b/>
          <w:bCs/>
          <w:lang w:val="en-US" w:eastAsia="zh-CN"/>
        </w:rPr>
        <w:t xml:space="preserve"> due to</w:t>
      </w:r>
      <w:r>
        <w:rPr>
          <w:rFonts w:hint="default"/>
          <w:b/>
          <w:bCs/>
          <w:lang w:val="en-US" w:eastAsia="zh-CN"/>
        </w:rPr>
        <w:t xml:space="preserve"> multiple location points for </w:t>
      </w:r>
      <w:r>
        <w:rPr>
          <w:rFonts w:hint="eastAsia"/>
          <w:b/>
          <w:bCs/>
          <w:lang w:val="en-US" w:eastAsia="zh-CN"/>
        </w:rPr>
        <w:t>g</w:t>
      </w:r>
      <w:r>
        <w:rPr>
          <w:rFonts w:hint="default"/>
          <w:b/>
          <w:bCs/>
          <w:lang w:val="en-US" w:eastAsia="zh-CN"/>
        </w:rPr>
        <w:t>eographical area information</w:t>
      </w:r>
      <w:r>
        <w:rPr>
          <w:rFonts w:hint="eastAsia"/>
          <w:b/>
          <w:bCs/>
          <w:lang w:val="en-US" w:eastAsia="zh-CN"/>
        </w:rPr>
        <w:t xml:space="preserve"> (e.g. </w:t>
      </w:r>
      <w:r>
        <w:rPr>
          <w:rFonts w:hint="default"/>
          <w:b/>
          <w:bCs/>
          <w:lang w:val="en-US" w:eastAsia="zh-CN"/>
        </w:rPr>
        <w:t>polygon</w:t>
      </w:r>
      <w:r>
        <w:rPr>
          <w:rFonts w:hint="eastAsia"/>
          <w:b/>
          <w:bCs/>
          <w:lang w:val="en-US" w:eastAsia="zh-CN"/>
        </w:rPr>
        <w:t>).</w:t>
      </w:r>
    </w:p>
    <w:p>
      <w:pPr>
        <w:pStyle w:val="60"/>
        <w:numPr>
          <w:ilvl w:val="0"/>
          <w:numId w:val="0"/>
        </w:numPr>
        <w:spacing w:after="0"/>
        <w:rPr>
          <w:rFonts w:hint="eastAsia" w:eastAsiaTheme="minorEastAsia"/>
          <w:b/>
          <w:bCs w:val="0"/>
          <w:lang w:val="en-US" w:eastAsia="zh-CN"/>
        </w:rPr>
      </w:pPr>
      <w:r>
        <w:rPr>
          <w:rFonts w:hint="eastAsia" w:eastAsia="宋体"/>
          <w:b/>
          <w:bCs/>
          <w:iCs/>
          <w:lang w:val="en-US" w:eastAsia="zh-CN"/>
        </w:rPr>
        <w:t xml:space="preserve">Proposal 2: Option 1 </w:t>
      </w:r>
      <w:r>
        <w:rPr>
          <w:rFonts w:hint="eastAsia" w:eastAsiaTheme="minorEastAsia"/>
          <w:b/>
          <w:bCs w:val="0"/>
          <w:lang w:val="en-US" w:eastAsia="zh-CN"/>
        </w:rPr>
        <w:t>(circles) seems to be a simple solution to provide service area information. And a new IE (e.g. IntendedServiceAreaInfo-r19) is introduced as following: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rPr>
          <w:rFonts w:hint="eastAsia" w:eastAsia="宋体"/>
          <w:iCs/>
          <w:lang w:val="en-US" w:eastAsia="zh-CN"/>
        </w:rPr>
      </w:pPr>
    </w:p>
    <w:p>
      <w:pPr>
        <w:numPr>
          <w:ilvl w:val="0"/>
          <w:numId w:val="0"/>
        </w:numPr>
        <w:ind w:leftChars="0"/>
      </w:pPr>
      <w:r>
        <w:rPr>
          <w:rFonts w:hint="eastAsia" w:eastAsia="宋体"/>
          <w:iCs/>
          <w:lang w:val="en-US" w:eastAsia="zh-CN"/>
        </w:rPr>
        <w:t xml:space="preserve">In addition to the above 2 options, we could also consider to </w:t>
      </w:r>
      <w:r>
        <w:rPr>
          <w:rFonts w:hint="eastAsia" w:eastAsia="宋体"/>
          <w:b w:val="0"/>
          <w:bCs w:val="0"/>
          <w:lang w:val="en-US" w:eastAsia="zh-CN"/>
        </w:rPr>
        <w:t>taking advantage of mapped cell ID introduced in NTN R17</w:t>
      </w:r>
      <w:r>
        <w:rPr>
          <w:rFonts w:hint="eastAsia" w:eastAsia="宋体"/>
          <w:b/>
          <w:bCs/>
          <w:lang w:val="en-US" w:eastAsia="zh-CN"/>
        </w:rPr>
        <w:t xml:space="preserve">. </w:t>
      </w:r>
      <w:r>
        <w:rPr>
          <w:rFonts w:hint="eastAsia" w:eastAsia="宋体"/>
          <w:b w:val="0"/>
          <w:bCs w:val="0"/>
          <w:lang w:val="en-US" w:eastAsia="zh-CN"/>
        </w:rPr>
        <w:t xml:space="preserve">As existing mechanism, </w:t>
      </w:r>
      <w:r>
        <w:t>UE in RRC_CONNECTED state may send MBS Interest Indication to the gNB, consist</w:t>
      </w:r>
      <w:r>
        <w:rPr>
          <w:rFonts w:eastAsiaTheme="minorEastAsia"/>
          <w:lang w:eastAsia="zh-CN"/>
        </w:rPr>
        <w:t>ing</w:t>
      </w:r>
      <w:r>
        <w:t xml:space="preserve"> of the following information</w:t>
      </w:r>
      <w:r>
        <w:rPr>
          <w:rFonts w:hint="eastAsia" w:eastAsia="宋体"/>
          <w:lang w:val="en-US" w:eastAsia="zh-CN"/>
        </w:rPr>
        <w:t xml:space="preserve"> [2]</w:t>
      </w:r>
      <w:r>
        <w:t>:</w:t>
      </w:r>
    </w:p>
    <w:p>
      <w:pPr>
        <w:pStyle w:val="60"/>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val="0"/>
        <w:topLinePunct w:val="0"/>
        <w:autoSpaceDE w:val="0"/>
        <w:autoSpaceDN w:val="0"/>
        <w:bidi w:val="0"/>
        <w:adjustRightInd w:val="0"/>
        <w:snapToGrid/>
        <w:spacing w:after="120"/>
        <w:ind w:left="567" w:firstLine="0" w:firstLineChars="0"/>
        <w:textAlignment w:val="baseline"/>
      </w:pPr>
      <w:r>
        <w:t>-</w:t>
      </w:r>
      <w:r>
        <w:rPr>
          <w:rFonts w:hint="eastAsia" w:eastAsia="宋体"/>
          <w:lang w:val="en-US" w:eastAsia="zh-CN"/>
        </w:rPr>
        <w:t xml:space="preserve"> </w:t>
      </w:r>
      <w:r>
        <w:t xml:space="preserve">List of MBS frequencies UE is </w:t>
      </w:r>
      <w:r>
        <w:rPr>
          <w:lang w:eastAsia="zh-CN"/>
        </w:rPr>
        <w:t>receiving or</w:t>
      </w:r>
      <w:r>
        <w:t xml:space="preserve"> interested to receive, sorted in decreasing order of interest;</w:t>
      </w:r>
    </w:p>
    <w:p>
      <w:pPr>
        <w:pStyle w:val="60"/>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val="0"/>
        <w:topLinePunct w:val="0"/>
        <w:autoSpaceDE w:val="0"/>
        <w:autoSpaceDN w:val="0"/>
        <w:bidi w:val="0"/>
        <w:adjustRightInd w:val="0"/>
        <w:snapToGrid/>
        <w:spacing w:after="120"/>
        <w:ind w:left="567" w:firstLine="0" w:firstLineChars="0"/>
        <w:textAlignment w:val="baseline"/>
      </w:pPr>
      <w:r>
        <w:t>-</w:t>
      </w:r>
      <w:r>
        <w:rPr>
          <w:rFonts w:hint="eastAsia" w:eastAsia="宋体"/>
          <w:lang w:val="en-US" w:eastAsia="zh-CN"/>
        </w:rPr>
        <w:t xml:space="preserve"> </w:t>
      </w:r>
      <w:r>
        <w:t>Priority between the reception of all listed MBS frequencies and the reception of any unicast bearer</w:t>
      </w:r>
      <w:r>
        <w:rPr>
          <w:lang w:eastAsia="zh-CN"/>
        </w:rPr>
        <w:t xml:space="preserve"> and multicast MRB</w:t>
      </w:r>
      <w:r>
        <w:t>;</w:t>
      </w:r>
    </w:p>
    <w:p>
      <w:pPr>
        <w:pStyle w:val="60"/>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val="0"/>
        <w:topLinePunct w:val="0"/>
        <w:autoSpaceDE w:val="0"/>
        <w:autoSpaceDN w:val="0"/>
        <w:bidi w:val="0"/>
        <w:adjustRightInd w:val="0"/>
        <w:snapToGrid/>
        <w:spacing w:after="120"/>
        <w:ind w:left="567" w:firstLine="0" w:firstLineChars="0"/>
        <w:textAlignment w:val="baseline"/>
        <w:rPr>
          <w:rFonts w:hint="eastAsia" w:eastAsia="宋体"/>
          <w:b w:val="0"/>
          <w:bCs w:val="0"/>
          <w:lang w:val="en-US" w:eastAsia="zh-CN"/>
        </w:rPr>
      </w:pPr>
      <w:r>
        <w:t>-</w:t>
      </w:r>
      <w:r>
        <w:rPr>
          <w:rFonts w:hint="eastAsia" w:eastAsia="宋体"/>
          <w:lang w:val="en-US" w:eastAsia="zh-CN"/>
        </w:rPr>
        <w:t xml:space="preserve"> </w:t>
      </w:r>
      <w:r>
        <w:t xml:space="preserve">List of MBS broadcast services the UE is </w:t>
      </w:r>
      <w:r>
        <w:rPr>
          <w:lang w:eastAsia="zh-CN"/>
        </w:rPr>
        <w:t>receiving or</w:t>
      </w:r>
      <w:r>
        <w:t xml:space="preserve"> interested to receive, in case SIB20 is </w:t>
      </w:r>
      <w:r>
        <w:rPr>
          <w:lang w:eastAsia="zh-CN"/>
        </w:rPr>
        <w:t>provided</w:t>
      </w:r>
      <w:r>
        <w:t xml:space="preserve"> </w:t>
      </w:r>
      <w:r>
        <w:rPr>
          <w:lang w:eastAsia="zh-CN"/>
        </w:rPr>
        <w:t>for</w:t>
      </w:r>
      <w:r>
        <w:t xml:space="preserve"> PCell</w:t>
      </w:r>
      <w:r>
        <w:rPr>
          <w:lang w:eastAsia="zh-CN"/>
        </w:rPr>
        <w:t xml:space="preserve"> or SCell</w:t>
      </w:r>
      <w:r>
        <w:t>.</w:t>
      </w:r>
    </w:p>
    <w:p>
      <w:pPr>
        <w:pStyle w:val="60"/>
        <w:numPr>
          <w:ilvl w:val="0"/>
          <w:numId w:val="0"/>
        </w:numPr>
        <w:spacing w:after="0"/>
        <w:ind w:leftChars="0"/>
        <w:rPr>
          <w:rFonts w:hint="default" w:eastAsia="宋体"/>
          <w:b/>
          <w:bCs/>
          <w:lang w:val="en-US" w:eastAsia="zh-CN"/>
        </w:rPr>
      </w:pPr>
      <w:r>
        <w:rPr>
          <w:rFonts w:hint="eastAsia" w:eastAsia="宋体"/>
          <w:b w:val="0"/>
          <w:bCs w:val="0"/>
          <w:lang w:val="en-US" w:eastAsia="zh-CN"/>
        </w:rPr>
        <w:t xml:space="preserve">Explicitly, the </w:t>
      </w:r>
      <w:r>
        <w:t>MBS Interest Indication</w:t>
      </w:r>
      <w:r>
        <w:rPr>
          <w:rFonts w:hint="eastAsia" w:eastAsia="宋体"/>
          <w:lang w:val="en-US" w:eastAsia="zh-CN"/>
        </w:rPr>
        <w:t xml:space="preserve"> is related to frequency level, which may not be applied in NTN system well. I</w:t>
      </w:r>
      <w:r>
        <w:rPr>
          <w:rFonts w:hint="eastAsia" w:eastAsia="宋体"/>
          <w:b w:val="0"/>
          <w:bCs w:val="0"/>
          <w:lang w:val="en-US" w:eastAsia="zh-CN"/>
        </w:rPr>
        <w:t>n R17 NTN, we introduced mapped cell ID, gNB is responsible for constructing the Mapped Cell ID based on the UE location information received from the UE, if available. The mapping may be pre-configured (e.g., up to operator's policy) or up to implementation. We could leverage the mapped cell ID to indicate intended service area in NTN. Specifically, network broadcast mapped cell ID and the corresponding area information, and provide association between mapped cell ID and service area, and maybe a new SIB needed due to information size. Then this option is also beneficial for subsequent MBS Interest Indication reporting with mapped cell granularity from UE side.</w:t>
      </w:r>
    </w:p>
    <w:p>
      <w:pPr>
        <w:pStyle w:val="60"/>
        <w:spacing w:after="0"/>
        <w:ind w:left="0" w:firstLine="0"/>
        <w:jc w:val="center"/>
        <w:rPr>
          <w:rFonts w:hint="eastAsia" w:eastAsiaTheme="minorEastAsia"/>
          <w:b/>
          <w:bCs w:val="0"/>
          <w:lang w:val="en-US" w:eastAsia="zh-CN"/>
        </w:rPr>
      </w:pPr>
      <w:r>
        <w:rPr>
          <w:rFonts w:hint="eastAsia" w:eastAsiaTheme="minorEastAsia"/>
          <w:b/>
          <w:bCs w:val="0"/>
          <w:lang w:val="en-US" w:eastAsia="zh-CN"/>
        </w:rPr>
        <w:object>
          <v:shape id="_x0000_i1027" o:spt="75" type="#_x0000_t75" style="height:164.25pt;width:173.25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p>
    <w:p>
      <w:pPr>
        <w:pStyle w:val="60"/>
        <w:spacing w:after="0"/>
        <w:ind w:left="0" w:firstLine="0"/>
        <w:jc w:val="center"/>
        <w:rPr>
          <w:rFonts w:hint="eastAsia" w:eastAsiaTheme="minorEastAsia"/>
          <w:b/>
          <w:bCs w:val="0"/>
          <w:lang w:val="en-US" w:eastAsia="zh-CN"/>
        </w:rPr>
      </w:pPr>
      <w:r>
        <w:rPr>
          <w:rFonts w:hint="eastAsia" w:eastAsiaTheme="minorEastAsia"/>
          <w:b/>
          <w:bCs w:val="0"/>
          <w:lang w:val="en-US" w:eastAsia="zh-CN"/>
        </w:rPr>
        <w:t>Figure 3 Association between Mapped cell and service area</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3: In order to provide service area information, taking advantage of mapped cell ID introduced in NTN R17 could also be discussed. Specifically, network broadcast mapped cell ID and the corresponding area information, and provide association between mapped cell ID and service area.</w:t>
      </w:r>
    </w:p>
    <w:p>
      <w:pPr>
        <w:pStyle w:val="60"/>
        <w:numPr>
          <w:ilvl w:val="0"/>
          <w:numId w:val="0"/>
        </w:numPr>
        <w:spacing w:after="0"/>
        <w:rPr>
          <w:rFonts w:hint="eastAsia" w:eastAsia="宋体"/>
          <w:b/>
          <w:bCs/>
          <w:iCs/>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eastAsia" w:eastAsia="宋体"/>
          <w:b/>
          <w:bCs/>
          <w:iCs/>
          <w:lang w:val="en-US" w:eastAsia="zh-CN"/>
        </w:rPr>
      </w:pPr>
      <w:r>
        <w:rPr>
          <w:rFonts w:hint="eastAsia" w:eastAsiaTheme="minorEastAsia"/>
          <w:b/>
          <w:bCs w:val="0"/>
          <w:sz w:val="24"/>
          <w:szCs w:val="24"/>
          <w:lang w:val="en-US" w:eastAsia="zh-CN"/>
        </w:rPr>
        <w:t>2.3 Which SIB to include the service area information</w:t>
      </w:r>
    </w:p>
    <w:p>
      <w:pPr>
        <w:pStyle w:val="60"/>
        <w:numPr>
          <w:ilvl w:val="0"/>
          <w:numId w:val="0"/>
        </w:numPr>
        <w:spacing w:after="0"/>
        <w:rPr>
          <w:rFonts w:hint="default" w:eastAsia="宋体"/>
          <w:b w:val="0"/>
          <w:bCs w:val="0"/>
          <w:iCs/>
          <w:lang w:val="en-US" w:eastAsia="zh-CN"/>
        </w:rPr>
      </w:pPr>
      <w:r>
        <w:rPr>
          <w:rFonts w:hint="eastAsia" w:eastAsia="宋体"/>
          <w:b w:val="0"/>
          <w:bCs w:val="0"/>
          <w:iCs/>
          <w:lang w:val="en-US" w:eastAsia="zh-CN"/>
        </w:rPr>
        <w:t xml:space="preserve">Then we need to discuss which SIB to include the service area information, the existing SIB1 (scheduling other SI) or SIB20/SIB21 containing information for MBS broadcast or SIB19 including satellite assistance information for NTN access could be considered. Considering that we agreed to </w:t>
      </w:r>
      <w:r>
        <w:t>prioritize working on a solution for MBS broadcast</w:t>
      </w:r>
      <w:r>
        <w:rPr>
          <w:rFonts w:hint="eastAsia" w:eastAsia="宋体"/>
          <w:lang w:val="en-US" w:eastAsia="zh-CN"/>
        </w:rPr>
        <w:t xml:space="preserve"> but don</w:t>
      </w:r>
      <w:r>
        <w:rPr>
          <w:rFonts w:hint="default" w:eastAsia="宋体"/>
          <w:lang w:val="en-US" w:eastAsia="zh-CN"/>
        </w:rPr>
        <w:t>’</w:t>
      </w:r>
      <w:r>
        <w:rPr>
          <w:rFonts w:hint="eastAsia" w:eastAsia="宋体"/>
          <w:lang w:val="en-US" w:eastAsia="zh-CN"/>
        </w:rPr>
        <w:t>t preclude other broadcast services, namely ETWS (Earthquake and Tsunami Warning System). If supported ETWS, SIB6 (</w:t>
      </w:r>
      <w:r>
        <w:t>ETWS primary notification</w:t>
      </w:r>
      <w:r>
        <w:rPr>
          <w:rFonts w:hint="eastAsia" w:eastAsia="宋体"/>
          <w:lang w:val="en-US" w:eastAsia="zh-CN"/>
        </w:rPr>
        <w:t>) or SIB7 (</w:t>
      </w:r>
      <w:r>
        <w:t>ETWS secondary notification</w:t>
      </w:r>
      <w:r>
        <w:rPr>
          <w:rFonts w:hint="eastAsia" w:eastAsia="宋体"/>
          <w:lang w:val="en-US" w:eastAsia="zh-CN"/>
        </w:rPr>
        <w:t xml:space="preserve">) could be considered to provide service area information. </w:t>
      </w:r>
      <w:r>
        <w:rPr>
          <w:rFonts w:hint="eastAsia" w:eastAsia="宋体"/>
          <w:b w:val="0"/>
          <w:bCs w:val="0"/>
          <w:iCs/>
          <w:lang w:val="en-US" w:eastAsia="zh-CN"/>
        </w:rPr>
        <w:t>Further considering that a new SIB25 is introduced to support TN coverage information in R18, a new SIBx could also be discussed to include the service area information for MBS broadcast. Then if multiple broadcast service types are supported, SIB1 or a new SIBx may be more reasonable considering the signaling overhead.</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4:The following options could be discussed to include the service information:</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1: SIB1</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2: SIB20/SIB21 (containing information for MBS broadcast)</w:t>
      </w:r>
    </w:p>
    <w:p>
      <w:pPr>
        <w:pStyle w:val="60"/>
        <w:numPr>
          <w:ilvl w:val="0"/>
          <w:numId w:val="0"/>
        </w:numPr>
        <w:spacing w:after="0"/>
        <w:ind w:firstLine="567" w:firstLineChars="0"/>
        <w:rPr>
          <w:rFonts w:hint="default" w:eastAsia="宋体"/>
          <w:b/>
          <w:bCs/>
          <w:iCs/>
          <w:lang w:val="en-US" w:eastAsia="zh-CN"/>
        </w:rPr>
      </w:pPr>
      <w:r>
        <w:rPr>
          <w:rFonts w:hint="eastAsia" w:eastAsia="宋体"/>
          <w:b/>
          <w:bCs/>
          <w:iCs/>
          <w:lang w:val="en-US" w:eastAsia="zh-CN"/>
        </w:rPr>
        <w:t>Option 3: SIB6/SIB7 (including ETWS notification)</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4: SIB19 (including satellite assistance information for NTN access)</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5: a new SIBx</w:t>
      </w:r>
    </w:p>
    <w:p>
      <w:pPr>
        <w:pStyle w:val="60"/>
        <w:numPr>
          <w:ilvl w:val="0"/>
          <w:numId w:val="0"/>
        </w:numPr>
        <w:spacing w:after="0"/>
        <w:ind w:firstLine="567" w:firstLineChars="0"/>
        <w:rPr>
          <w:rFonts w:hint="eastAsia" w:eastAsia="宋体"/>
          <w:b/>
          <w:bCs/>
          <w:iCs/>
          <w:lang w:val="en-US" w:eastAsia="zh-CN"/>
        </w:rPr>
      </w:pP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textAlignment w:val="baseline"/>
        <w:outlineLvl w:val="1"/>
        <w:rPr>
          <w:rFonts w:hint="default" w:eastAsiaTheme="minorEastAsia"/>
          <w:bCs/>
          <w:lang w:val="en-US" w:eastAsia="zh-CN"/>
        </w:rPr>
      </w:pPr>
      <w:r>
        <w:rPr>
          <w:rFonts w:hint="eastAsia" w:eastAsiaTheme="minorEastAsia"/>
          <w:b/>
          <w:bCs w:val="0"/>
          <w:sz w:val="24"/>
          <w:szCs w:val="24"/>
          <w:lang w:val="en-US" w:eastAsia="zh-CN"/>
        </w:rPr>
        <w:t>2.4 Country information</w:t>
      </w:r>
    </w:p>
    <w:p>
      <w:pPr>
        <w:pStyle w:val="60"/>
        <w:spacing w:after="0"/>
        <w:ind w:left="0" w:firstLine="0"/>
        <w:rPr>
          <w:rFonts w:hint="eastAsia" w:eastAsia="宋体"/>
          <w:lang w:val="en-US" w:eastAsia="zh-CN"/>
        </w:rPr>
      </w:pPr>
      <w:r>
        <w:rPr>
          <w:rFonts w:hint="eastAsia" w:eastAsia="宋体"/>
          <w:b w:val="0"/>
          <w:bCs w:val="0"/>
          <w:iCs/>
          <w:lang w:val="en-US" w:eastAsia="zh-CN"/>
        </w:rPr>
        <w:t xml:space="preserve">Per the discussion, some companies indicate that </w:t>
      </w:r>
      <w:r>
        <w:rPr>
          <w:rFonts w:hint="eastAsia" w:eastAsia="宋体"/>
          <w:iCs/>
          <w:lang w:val="en-US" w:eastAsia="zh-CN"/>
        </w:rPr>
        <w:t xml:space="preserve">one intended service area may cross several country border, different country information need to be taken into account. However, the existing TMGI (Temporary Mobile Group Identity) </w:t>
      </w:r>
      <w:r>
        <w:rPr>
          <w:rFonts w:hint="eastAsia"/>
        </w:rPr>
        <w:t xml:space="preserve">used </w:t>
      </w:r>
      <w:r>
        <w:t>within</w:t>
      </w:r>
      <w:r>
        <w:rPr>
          <w:rFonts w:hint="eastAsia"/>
        </w:rPr>
        <w:t xml:space="preserve"> MBMS</w:t>
      </w:r>
      <w:r>
        <w:t xml:space="preserve"> to uniquely identify Multicast and Broadcast bearer services</w:t>
      </w:r>
      <w:r>
        <w:rPr>
          <w:rFonts w:hint="eastAsia" w:eastAsia="宋体"/>
          <w:lang w:val="en-US" w:eastAsia="zh-CN"/>
        </w:rPr>
        <w:t xml:space="preserve"> and the structure of TMGI is shown in the following figure:</w:t>
      </w:r>
    </w:p>
    <w:p>
      <w:pPr>
        <w:pStyle w:val="73"/>
      </w:pPr>
      <w:r>
        <w:object>
          <v:shape id="_x0000_i1028" o:spt="75" type="#_x0000_t75" style="height:135.35pt;width:469.45pt;" o:ole="t" fillcolor="#CCE8CF" filled="f" o:preferrelative="t" stroked="f" coordsize="21600,21600">
            <v:path/>
            <v:fill on="f" focussize="0,0"/>
            <v:stroke on="f" joinstyle="miter"/>
            <v:imagedata r:id="rId18" o:title=""/>
            <o:lock v:ext="edit" aspectratio="t"/>
            <w10:wrap type="none"/>
            <w10:anchorlock/>
          </v:shape>
          <o:OLEObject Type="Embed" ProgID="Word.Picture.8" ShapeID="_x0000_i1028" DrawAspect="Content" ObjectID="_1468075728" r:id="rId17">
            <o:LockedField>false</o:LockedField>
          </o:OLEObject>
        </w:object>
      </w:r>
    </w:p>
    <w:p>
      <w:pPr>
        <w:pStyle w:val="74"/>
        <w:rPr>
          <w:rFonts w:hint="default" w:eastAsia="宋体"/>
          <w:lang w:val="en-US" w:eastAsia="zh-CN"/>
        </w:rPr>
      </w:pPr>
      <w:r>
        <w:t>Figure 15.2.1: Structure of TMGI</w:t>
      </w:r>
      <w:r>
        <w:rPr>
          <w:rFonts w:hint="eastAsia" w:eastAsia="宋体"/>
          <w:lang w:val="en-US" w:eastAsia="zh-CN"/>
        </w:rPr>
        <w:t xml:space="preserve"> [3]</w:t>
      </w:r>
    </w:p>
    <w:p>
      <w:pPr>
        <w:pStyle w:val="60"/>
        <w:spacing w:after="0"/>
        <w:ind w:left="0" w:firstLine="0"/>
        <w:rPr>
          <w:rFonts w:hint="eastAsia" w:eastAsia="宋体"/>
          <w:lang w:val="en-US" w:eastAsia="zh-CN"/>
        </w:rPr>
      </w:pPr>
      <w:r>
        <w:rPr>
          <w:rFonts w:hint="eastAsia" w:eastAsia="宋体"/>
          <w:lang w:val="en-US" w:eastAsia="zh-CN"/>
        </w:rPr>
        <w:t>And the SAI is constituted by Service Area Code (SAC) together with the PLMN-Id and the LAC (Location Area Code):</w:t>
      </w:r>
    </w:p>
    <w:p>
      <w:pPr>
        <w:pStyle w:val="60"/>
        <w:spacing w:after="0"/>
        <w:ind w:left="0" w:firstLine="0"/>
        <w:jc w:val="center"/>
        <w:rPr>
          <w:rFonts w:hint="default" w:eastAsia="宋体"/>
          <w:lang w:val="en-US" w:eastAsia="zh-CN"/>
        </w:rPr>
      </w:pPr>
      <w:r>
        <w:rPr>
          <w:rFonts w:hint="default" w:eastAsia="宋体"/>
          <w:lang w:val="en-US" w:eastAsia="zh-CN"/>
        </w:rPr>
        <w:t>-</w:t>
      </w:r>
      <w:r>
        <w:rPr>
          <w:rFonts w:hint="default" w:eastAsia="宋体"/>
          <w:lang w:val="en-US" w:eastAsia="zh-CN"/>
        </w:rPr>
        <w:tab/>
      </w:r>
      <w:r>
        <w:rPr>
          <w:rFonts w:hint="default" w:eastAsia="宋体"/>
          <w:lang w:val="en-US" w:eastAsia="zh-CN"/>
        </w:rPr>
        <w:t>SAI = PLMN-Id || LAC || SAC</w:t>
      </w:r>
      <w:r>
        <w:rPr>
          <w:rFonts w:hint="eastAsia" w:eastAsia="宋体"/>
          <w:lang w:val="en-US" w:eastAsia="zh-CN"/>
        </w:rPr>
        <w:t xml:space="preserve"> [3]</w:t>
      </w:r>
    </w:p>
    <w:p>
      <w:pPr>
        <w:pStyle w:val="60"/>
        <w:spacing w:after="0"/>
        <w:ind w:left="0" w:firstLine="0"/>
        <w:rPr>
          <w:rFonts w:hint="eastAsia" w:eastAsiaTheme="minorEastAsia"/>
          <w:b/>
          <w:bCs w:val="0"/>
          <w:lang w:val="en-US" w:eastAsia="zh-CN"/>
        </w:rPr>
      </w:pPr>
      <w:r>
        <w:rPr>
          <w:rFonts w:hint="eastAsia" w:eastAsia="宋体"/>
          <w:iCs/>
          <w:lang w:val="en-US" w:eastAsia="zh-CN"/>
        </w:rPr>
        <w:t>Based on above, current TMGI and SAI have already contained MCC or PLMN ID respectively, it may be enough to represent different country and no further enhancements is needed.</w:t>
      </w:r>
    </w:p>
    <w:p>
      <w:pPr>
        <w:pStyle w:val="60"/>
        <w:spacing w:after="0"/>
        <w:ind w:left="0" w:leftChars="0" w:firstLine="0" w:firstLineChars="0"/>
        <w:rPr>
          <w:rFonts w:hint="default" w:eastAsiaTheme="minorEastAsia"/>
          <w:b/>
          <w:bCs/>
          <w:lang w:val="en-US" w:eastAsia="zh-CN"/>
        </w:rPr>
      </w:pPr>
      <w:r>
        <w:rPr>
          <w:rFonts w:hint="eastAsia" w:eastAsiaTheme="minorEastAsia"/>
          <w:b/>
          <w:bCs w:val="0"/>
          <w:lang w:val="en-US" w:eastAsia="zh-CN"/>
        </w:rPr>
        <w:t>Proposal 5: Current TMGI and SAI have already contained MCC or PLMN ID respectively, it may be enough to cover different country information.</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Proposal 1: It is proposed that the smallest granularity of broadcast transmission is the coverage of a satellite beam.</w:t>
      </w:r>
    </w:p>
    <w:p>
      <w:pPr>
        <w:pStyle w:val="60"/>
        <w:numPr>
          <w:ilvl w:val="0"/>
          <w:numId w:val="0"/>
        </w:numPr>
        <w:spacing w:after="0"/>
        <w:rPr>
          <w:rFonts w:hint="default" w:eastAsia="宋体"/>
          <w:i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Option </w:t>
      </w:r>
      <w:r>
        <w:rPr>
          <w:rFonts w:hint="eastAsia"/>
          <w:b/>
          <w:bCs/>
          <w:lang w:val="en-US" w:eastAsia="zh-CN"/>
        </w:rPr>
        <w:t>2</w:t>
      </w:r>
      <w:r>
        <w:rPr>
          <w:rFonts w:hint="default"/>
          <w:b/>
          <w:bCs/>
          <w:lang w:val="en-US" w:eastAsia="zh-CN"/>
        </w:rPr>
        <w:t xml:space="preserve"> has overhead issue</w:t>
      </w:r>
      <w:r>
        <w:rPr>
          <w:rFonts w:hint="eastAsia"/>
          <w:b/>
          <w:bCs/>
          <w:lang w:val="en-US" w:eastAsia="zh-CN"/>
        </w:rPr>
        <w:t xml:space="preserve"> due to</w:t>
      </w:r>
      <w:r>
        <w:rPr>
          <w:rFonts w:hint="default"/>
          <w:b/>
          <w:bCs/>
          <w:lang w:val="en-US" w:eastAsia="zh-CN"/>
        </w:rPr>
        <w:t xml:space="preserve"> multiple location points for </w:t>
      </w:r>
      <w:r>
        <w:rPr>
          <w:rFonts w:hint="eastAsia"/>
          <w:b/>
          <w:bCs/>
          <w:lang w:val="en-US" w:eastAsia="zh-CN"/>
        </w:rPr>
        <w:t>g</w:t>
      </w:r>
      <w:r>
        <w:rPr>
          <w:rFonts w:hint="default"/>
          <w:b/>
          <w:bCs/>
          <w:lang w:val="en-US" w:eastAsia="zh-CN"/>
        </w:rPr>
        <w:t>eographical area information</w:t>
      </w:r>
      <w:r>
        <w:rPr>
          <w:rFonts w:hint="eastAsia"/>
          <w:b/>
          <w:bCs/>
          <w:lang w:val="en-US" w:eastAsia="zh-CN"/>
        </w:rPr>
        <w:t xml:space="preserve"> (e.g. </w:t>
      </w:r>
      <w:r>
        <w:rPr>
          <w:rFonts w:hint="default"/>
          <w:b/>
          <w:bCs/>
          <w:lang w:val="en-US" w:eastAsia="zh-CN"/>
        </w:rPr>
        <w:t>polygon</w:t>
      </w:r>
      <w:r>
        <w:rPr>
          <w:rFonts w:hint="eastAsia"/>
          <w:b/>
          <w:bCs/>
          <w:lang w:val="en-US" w:eastAsia="zh-CN"/>
        </w:rPr>
        <w:t>).</w:t>
      </w:r>
    </w:p>
    <w:p>
      <w:pPr>
        <w:pStyle w:val="60"/>
        <w:numPr>
          <w:ilvl w:val="0"/>
          <w:numId w:val="0"/>
        </w:numPr>
        <w:spacing w:after="0"/>
        <w:rPr>
          <w:rFonts w:hint="eastAsia" w:eastAsiaTheme="minorEastAsia"/>
          <w:b/>
          <w:bCs w:val="0"/>
          <w:lang w:val="en-US" w:eastAsia="zh-CN"/>
        </w:rPr>
      </w:pPr>
      <w:r>
        <w:rPr>
          <w:rFonts w:hint="eastAsia" w:eastAsia="宋体"/>
          <w:b/>
          <w:bCs/>
          <w:iCs/>
          <w:lang w:val="en-US" w:eastAsia="zh-CN"/>
        </w:rPr>
        <w:t xml:space="preserve">Proposal 2: Option 1 </w:t>
      </w:r>
      <w:r>
        <w:rPr>
          <w:rFonts w:hint="eastAsia" w:eastAsiaTheme="minorEastAsia"/>
          <w:b/>
          <w:bCs w:val="0"/>
          <w:lang w:val="en-US" w:eastAsia="zh-CN"/>
        </w:rPr>
        <w:t>(circles) seems to be a simple solution to provide service area information. And a new IE (e.g. IntendedServiceAreaInfo-r19) is introduced as following: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AreaInfo-r1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AreaId-r1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ascii="Courier New" w:hAnsi="Courier New" w:eastAsia="Times New Roman" w:cs="Times New Roman"/>
          <w:color w:val="FF0000"/>
          <w:sz w:val="16"/>
          <w:lang w:val="en-GB" w:eastAsia="en-GB" w:bidi="ar-SA"/>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Area-ReferenceLocation-r1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ReferenceLocation-r17,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567" w:firstLineChars="0"/>
        <w:textAlignment w:val="baseline"/>
        <w:rPr>
          <w:rFonts w:hint="eastAsia" w:eastAsiaTheme="minorEastAsia"/>
          <w:b/>
          <w:bCs w:val="0"/>
          <w:lang w:val="en-US" w:eastAsia="zh-CN"/>
        </w:rPr>
      </w:pPr>
      <w:r>
        <w:rPr>
          <w:rFonts w:ascii="Courier New" w:hAnsi="Courier New" w:eastAsia="Times New Roman" w:cs="Times New Roman"/>
          <w:color w:val="FF0000"/>
          <w:sz w:val="16"/>
          <w:lang w:val="en-GB" w:eastAsia="en-GB" w:bidi="ar-SA"/>
        </w:rPr>
        <w:t xml:space="preserve">    </w:t>
      </w:r>
      <w:r>
        <w:rPr>
          <w:rFonts w:hint="eastAsia" w:ascii="Courier New" w:hAnsi="Courier New" w:eastAsia="宋体" w:cs="Times New Roman"/>
          <w:color w:val="FF0000"/>
          <w:sz w:val="16"/>
          <w:lang w:val="en-US" w:eastAsia="zh-CN" w:bidi="ar-SA"/>
        </w:rPr>
        <w:t>intendedService</w:t>
      </w:r>
      <w:r>
        <w:rPr>
          <w:rFonts w:ascii="Courier New" w:hAnsi="Courier New" w:eastAsia="Times New Roman" w:cs="Times New Roman"/>
          <w:color w:val="FF0000"/>
          <w:sz w:val="16"/>
          <w:lang w:val="en-GB" w:eastAsia="en-GB" w:bidi="ar-SA"/>
        </w:rPr>
        <w:t>Area-DistanceRadius-r1</w:t>
      </w:r>
      <w:r>
        <w:rPr>
          <w:rFonts w:hint="eastAsia" w:ascii="Courier New" w:hAnsi="Courier New" w:eastAsia="宋体" w:cs="Times New Roman"/>
          <w:color w:val="FF0000"/>
          <w:sz w:val="16"/>
          <w:lang w:val="en-US" w:eastAsia="zh-CN" w:bidi="ar-SA"/>
        </w:rPr>
        <w:t>9</w:t>
      </w:r>
      <w:r>
        <w:rPr>
          <w:rFonts w:ascii="Courier New" w:hAnsi="Courier New" w:eastAsia="Times New Roman" w:cs="Times New Roman"/>
          <w:color w:val="FF0000"/>
          <w:sz w:val="16"/>
          <w:lang w:val="en-GB" w:eastAsia="en-GB" w:bidi="ar-SA"/>
        </w:rPr>
        <w:t xml:space="preserve">          INTEGER(0..65536)</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3: In order to provide service area information, taking advantage of mapped cell ID introduced in NTN R17 could also be discussed. Specifically, network broadcast mapped cell ID and the corresponding area information, and provide association between mapped cell ID and service area.</w:t>
      </w:r>
    </w:p>
    <w:p>
      <w:pPr>
        <w:pStyle w:val="60"/>
        <w:numPr>
          <w:ilvl w:val="0"/>
          <w:numId w:val="0"/>
        </w:numPr>
        <w:spacing w:after="0"/>
        <w:rPr>
          <w:rFonts w:hint="eastAsia" w:eastAsia="宋体"/>
          <w:b/>
          <w:bCs/>
          <w:iCs/>
          <w:lang w:val="en-US" w:eastAsia="zh-CN"/>
        </w:rPr>
      </w:pPr>
      <w:r>
        <w:rPr>
          <w:rFonts w:hint="eastAsia" w:eastAsia="宋体"/>
          <w:b/>
          <w:bCs/>
          <w:iCs/>
          <w:lang w:val="en-US" w:eastAsia="zh-CN"/>
        </w:rPr>
        <w:t>Proposal 4:The following options could be discussed to include the service information:</w:t>
      </w:r>
    </w:p>
    <w:p>
      <w:pPr>
        <w:pStyle w:val="60"/>
        <w:numPr>
          <w:ilvl w:val="0"/>
          <w:numId w:val="0"/>
        </w:numPr>
        <w:spacing w:after="0"/>
        <w:ind w:firstLine="567" w:firstLineChars="0"/>
        <w:rPr>
          <w:rFonts w:hint="default" w:eastAsia="宋体"/>
          <w:b/>
          <w:bCs/>
          <w:iCs/>
          <w:lang w:val="en-US" w:eastAsia="zh-CN"/>
        </w:rPr>
      </w:pPr>
      <w:r>
        <w:rPr>
          <w:rFonts w:hint="eastAsia" w:eastAsia="宋体"/>
          <w:b/>
          <w:bCs/>
          <w:iCs/>
          <w:lang w:val="en-US" w:eastAsia="zh-CN"/>
        </w:rPr>
        <w:t>Option 1: SIB1</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2: SIB20/SIB21 (containing information for MBS broadcast)</w:t>
      </w:r>
    </w:p>
    <w:p>
      <w:pPr>
        <w:pStyle w:val="60"/>
        <w:numPr>
          <w:ilvl w:val="0"/>
          <w:numId w:val="0"/>
        </w:numPr>
        <w:spacing w:after="0"/>
        <w:ind w:firstLine="567" w:firstLineChars="0"/>
        <w:rPr>
          <w:rFonts w:hint="default" w:eastAsia="宋体"/>
          <w:b/>
          <w:bCs/>
          <w:iCs/>
          <w:lang w:val="en-US" w:eastAsia="zh-CN"/>
        </w:rPr>
      </w:pPr>
      <w:r>
        <w:rPr>
          <w:rFonts w:hint="eastAsia" w:eastAsia="宋体"/>
          <w:b/>
          <w:bCs/>
          <w:iCs/>
          <w:lang w:val="en-US" w:eastAsia="zh-CN"/>
        </w:rPr>
        <w:t>Option 3: SIB6/SIB7 (including ETWS notification)</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4: SIB19 (including satellite assistance information for NTN access)</w:t>
      </w:r>
    </w:p>
    <w:p>
      <w:pPr>
        <w:pStyle w:val="60"/>
        <w:numPr>
          <w:ilvl w:val="0"/>
          <w:numId w:val="0"/>
        </w:numPr>
        <w:spacing w:after="0"/>
        <w:ind w:firstLine="567" w:firstLineChars="0"/>
        <w:rPr>
          <w:rFonts w:hint="eastAsia" w:eastAsia="宋体"/>
          <w:b/>
          <w:bCs/>
          <w:iCs/>
          <w:lang w:val="en-US" w:eastAsia="zh-CN"/>
        </w:rPr>
      </w:pPr>
      <w:r>
        <w:rPr>
          <w:rFonts w:hint="eastAsia" w:eastAsia="宋体"/>
          <w:b/>
          <w:bCs/>
          <w:iCs/>
          <w:lang w:val="en-US" w:eastAsia="zh-CN"/>
        </w:rPr>
        <w:t>Option 5: a new SIBx</w:t>
      </w:r>
    </w:p>
    <w:p>
      <w:pPr>
        <w:pStyle w:val="60"/>
        <w:spacing w:after="0"/>
        <w:ind w:left="0" w:leftChars="0" w:firstLine="0" w:firstLineChars="0"/>
        <w:rPr>
          <w:rFonts w:hint="default" w:eastAsiaTheme="minorEastAsia"/>
          <w:b/>
          <w:bCs/>
          <w:lang w:val="en-US" w:eastAsia="zh-CN"/>
        </w:rPr>
      </w:pPr>
      <w:r>
        <w:rPr>
          <w:rFonts w:hint="eastAsia" w:eastAsiaTheme="minorEastAsia"/>
          <w:b/>
          <w:bCs w:val="0"/>
          <w:lang w:val="en-US" w:eastAsia="zh-CN"/>
        </w:rPr>
        <w:t>Proposal 5: Current TMGI and SAI have already contained MCC or PLMN ID respectively, it may be enough to cover different country information.</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R2-125bis NR-NTN-IoT-NTN (Sergio) EOM</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38.300 V18.0.0</w:t>
      </w:r>
      <w:r>
        <w:rPr>
          <w:rFonts w:hint="eastAsia" w:eastAsia="宋体"/>
          <w:sz w:val="20"/>
          <w:szCs w:val="20"/>
          <w:lang w:val="en-US" w:eastAsia="zh-CN"/>
        </w:rPr>
        <w:t xml:space="preserve"> NR; NR and NG-RAN Overall Description; Stage 2 (Release 18)</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23.003 V18.4.0</w:t>
      </w:r>
      <w:r>
        <w:rPr>
          <w:rFonts w:hint="eastAsia" w:eastAsia="宋体"/>
          <w:sz w:val="20"/>
          <w:szCs w:val="20"/>
          <w:lang w:val="en-US" w:eastAsia="zh-CN"/>
        </w:rPr>
        <w:t xml:space="preserve"> Numbering, addressing and identification;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0CC2FBD"/>
    <w:multiLevelType w:val="multilevel"/>
    <w:tmpl w:val="30CC2FB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2F4B03"/>
    <w:rsid w:val="025F0B06"/>
    <w:rsid w:val="02744528"/>
    <w:rsid w:val="02807EB9"/>
    <w:rsid w:val="02CC0A1F"/>
    <w:rsid w:val="038E11A6"/>
    <w:rsid w:val="03A11802"/>
    <w:rsid w:val="03F47F88"/>
    <w:rsid w:val="04623E3F"/>
    <w:rsid w:val="04634577"/>
    <w:rsid w:val="048A5003"/>
    <w:rsid w:val="049C7A2E"/>
    <w:rsid w:val="04B2680A"/>
    <w:rsid w:val="04B403C6"/>
    <w:rsid w:val="04BC080F"/>
    <w:rsid w:val="04F50E2F"/>
    <w:rsid w:val="05606A49"/>
    <w:rsid w:val="05983EBC"/>
    <w:rsid w:val="059F14A4"/>
    <w:rsid w:val="05A81BA7"/>
    <w:rsid w:val="05C4403D"/>
    <w:rsid w:val="06261BBF"/>
    <w:rsid w:val="0654248D"/>
    <w:rsid w:val="06565EAE"/>
    <w:rsid w:val="072F3206"/>
    <w:rsid w:val="0750320D"/>
    <w:rsid w:val="078C1F33"/>
    <w:rsid w:val="07B959B1"/>
    <w:rsid w:val="07EF7893"/>
    <w:rsid w:val="080269D0"/>
    <w:rsid w:val="083F0917"/>
    <w:rsid w:val="0841118C"/>
    <w:rsid w:val="08AF444E"/>
    <w:rsid w:val="09133D3D"/>
    <w:rsid w:val="092D6023"/>
    <w:rsid w:val="09A7296E"/>
    <w:rsid w:val="0A1A51CE"/>
    <w:rsid w:val="0A91659F"/>
    <w:rsid w:val="0A9740DA"/>
    <w:rsid w:val="0ACC0F45"/>
    <w:rsid w:val="0AF97CC1"/>
    <w:rsid w:val="0B4A1814"/>
    <w:rsid w:val="0B510D2F"/>
    <w:rsid w:val="0B6D0ACF"/>
    <w:rsid w:val="0BD60B5C"/>
    <w:rsid w:val="0C103E4C"/>
    <w:rsid w:val="0CAE5B2E"/>
    <w:rsid w:val="0CE57668"/>
    <w:rsid w:val="0D524167"/>
    <w:rsid w:val="0D681ED9"/>
    <w:rsid w:val="0D6C179F"/>
    <w:rsid w:val="0D7875CA"/>
    <w:rsid w:val="0DDB664A"/>
    <w:rsid w:val="0DFB1CA5"/>
    <w:rsid w:val="0E891356"/>
    <w:rsid w:val="0E997EF0"/>
    <w:rsid w:val="0EC440FF"/>
    <w:rsid w:val="0EEE0218"/>
    <w:rsid w:val="0EF139CD"/>
    <w:rsid w:val="0F703294"/>
    <w:rsid w:val="0FA67ED2"/>
    <w:rsid w:val="0FCC0A5A"/>
    <w:rsid w:val="0FE0018D"/>
    <w:rsid w:val="10221AC0"/>
    <w:rsid w:val="11043CD0"/>
    <w:rsid w:val="110F10D1"/>
    <w:rsid w:val="11B82D63"/>
    <w:rsid w:val="11C5063A"/>
    <w:rsid w:val="12B27083"/>
    <w:rsid w:val="12BA7EC6"/>
    <w:rsid w:val="13116F0E"/>
    <w:rsid w:val="13132FCE"/>
    <w:rsid w:val="132D7B2A"/>
    <w:rsid w:val="134A0035"/>
    <w:rsid w:val="135C7F4F"/>
    <w:rsid w:val="13AF3F95"/>
    <w:rsid w:val="13B17C5D"/>
    <w:rsid w:val="13E7351F"/>
    <w:rsid w:val="141B1C76"/>
    <w:rsid w:val="147E35AF"/>
    <w:rsid w:val="14863487"/>
    <w:rsid w:val="14A20FFB"/>
    <w:rsid w:val="14D97F69"/>
    <w:rsid w:val="153214F9"/>
    <w:rsid w:val="153372CB"/>
    <w:rsid w:val="154E3CB1"/>
    <w:rsid w:val="15C933D5"/>
    <w:rsid w:val="16550D59"/>
    <w:rsid w:val="16563130"/>
    <w:rsid w:val="169343E9"/>
    <w:rsid w:val="16AA08E2"/>
    <w:rsid w:val="16F24CA6"/>
    <w:rsid w:val="17224A41"/>
    <w:rsid w:val="177E36D0"/>
    <w:rsid w:val="17FE5D44"/>
    <w:rsid w:val="180E362D"/>
    <w:rsid w:val="181A3EFC"/>
    <w:rsid w:val="18787128"/>
    <w:rsid w:val="188344FD"/>
    <w:rsid w:val="18B9619D"/>
    <w:rsid w:val="191242AE"/>
    <w:rsid w:val="192F184A"/>
    <w:rsid w:val="19642202"/>
    <w:rsid w:val="19AC5C42"/>
    <w:rsid w:val="19BC1AC5"/>
    <w:rsid w:val="1A330485"/>
    <w:rsid w:val="1A495354"/>
    <w:rsid w:val="1AEF5DBD"/>
    <w:rsid w:val="1B181180"/>
    <w:rsid w:val="1B363FB3"/>
    <w:rsid w:val="1B423649"/>
    <w:rsid w:val="1BA24967"/>
    <w:rsid w:val="1BD95F94"/>
    <w:rsid w:val="1BDA5141"/>
    <w:rsid w:val="1C2D3246"/>
    <w:rsid w:val="1C3D1CD0"/>
    <w:rsid w:val="1C5E7298"/>
    <w:rsid w:val="1C851710"/>
    <w:rsid w:val="1DA0306B"/>
    <w:rsid w:val="1DDD518B"/>
    <w:rsid w:val="1DEE0D18"/>
    <w:rsid w:val="1E3072B7"/>
    <w:rsid w:val="1E403C53"/>
    <w:rsid w:val="1E4A0692"/>
    <w:rsid w:val="1EA20D4A"/>
    <w:rsid w:val="1EAA6DF5"/>
    <w:rsid w:val="1EB666E9"/>
    <w:rsid w:val="1EFF6958"/>
    <w:rsid w:val="1F0A1209"/>
    <w:rsid w:val="1F734328"/>
    <w:rsid w:val="1FA11974"/>
    <w:rsid w:val="1FAC7B28"/>
    <w:rsid w:val="20203DE8"/>
    <w:rsid w:val="2031215C"/>
    <w:rsid w:val="20955704"/>
    <w:rsid w:val="209A3575"/>
    <w:rsid w:val="20DB7C51"/>
    <w:rsid w:val="20E9518E"/>
    <w:rsid w:val="211313D4"/>
    <w:rsid w:val="21A07FD7"/>
    <w:rsid w:val="21F86645"/>
    <w:rsid w:val="22890610"/>
    <w:rsid w:val="22CC7A7A"/>
    <w:rsid w:val="234E7F45"/>
    <w:rsid w:val="236420CF"/>
    <w:rsid w:val="23987155"/>
    <w:rsid w:val="23FC31DD"/>
    <w:rsid w:val="241418CB"/>
    <w:rsid w:val="243463DC"/>
    <w:rsid w:val="245B6D34"/>
    <w:rsid w:val="24A5731F"/>
    <w:rsid w:val="24B5447A"/>
    <w:rsid w:val="24B82068"/>
    <w:rsid w:val="24E10292"/>
    <w:rsid w:val="24F55D6D"/>
    <w:rsid w:val="25043CC9"/>
    <w:rsid w:val="2513137F"/>
    <w:rsid w:val="25B04847"/>
    <w:rsid w:val="265756B5"/>
    <w:rsid w:val="27306E68"/>
    <w:rsid w:val="27606908"/>
    <w:rsid w:val="277E77C1"/>
    <w:rsid w:val="27AB2710"/>
    <w:rsid w:val="27D72CC4"/>
    <w:rsid w:val="27D7484C"/>
    <w:rsid w:val="27E26E59"/>
    <w:rsid w:val="2809471B"/>
    <w:rsid w:val="28255BB3"/>
    <w:rsid w:val="285478B9"/>
    <w:rsid w:val="287D5E75"/>
    <w:rsid w:val="289579C1"/>
    <w:rsid w:val="289C45C3"/>
    <w:rsid w:val="28AD0B61"/>
    <w:rsid w:val="28ED12AF"/>
    <w:rsid w:val="291D6E54"/>
    <w:rsid w:val="291F7D02"/>
    <w:rsid w:val="29423CBE"/>
    <w:rsid w:val="29462B04"/>
    <w:rsid w:val="2961737A"/>
    <w:rsid w:val="29CD3FA9"/>
    <w:rsid w:val="2A46578A"/>
    <w:rsid w:val="2A4B23FB"/>
    <w:rsid w:val="2AC82235"/>
    <w:rsid w:val="2AF0613E"/>
    <w:rsid w:val="2B083F92"/>
    <w:rsid w:val="2B542A45"/>
    <w:rsid w:val="2B8C2CC8"/>
    <w:rsid w:val="2BD870AF"/>
    <w:rsid w:val="2BE54292"/>
    <w:rsid w:val="2C13051C"/>
    <w:rsid w:val="2CF34F2F"/>
    <w:rsid w:val="2CF51ED1"/>
    <w:rsid w:val="2CFA23BD"/>
    <w:rsid w:val="2D3B228A"/>
    <w:rsid w:val="2D5923F4"/>
    <w:rsid w:val="2D613D2F"/>
    <w:rsid w:val="2DB6192E"/>
    <w:rsid w:val="2DBD7048"/>
    <w:rsid w:val="2DF36570"/>
    <w:rsid w:val="2E1A4203"/>
    <w:rsid w:val="2E2831C7"/>
    <w:rsid w:val="2EB775B3"/>
    <w:rsid w:val="2EE85B84"/>
    <w:rsid w:val="2EF94A67"/>
    <w:rsid w:val="2F775104"/>
    <w:rsid w:val="2F931D55"/>
    <w:rsid w:val="302454E4"/>
    <w:rsid w:val="302E07AF"/>
    <w:rsid w:val="303939AD"/>
    <w:rsid w:val="30946552"/>
    <w:rsid w:val="30AF76EE"/>
    <w:rsid w:val="30CB47BF"/>
    <w:rsid w:val="311B0263"/>
    <w:rsid w:val="319D3380"/>
    <w:rsid w:val="31AE180F"/>
    <w:rsid w:val="31C658F3"/>
    <w:rsid w:val="3255145A"/>
    <w:rsid w:val="32903B78"/>
    <w:rsid w:val="32A942B0"/>
    <w:rsid w:val="32F13120"/>
    <w:rsid w:val="3319216C"/>
    <w:rsid w:val="333663A2"/>
    <w:rsid w:val="33E26367"/>
    <w:rsid w:val="33F614DE"/>
    <w:rsid w:val="3438527B"/>
    <w:rsid w:val="345C09B1"/>
    <w:rsid w:val="34914DCA"/>
    <w:rsid w:val="34C6331F"/>
    <w:rsid w:val="34D95BB9"/>
    <w:rsid w:val="3507028C"/>
    <w:rsid w:val="35237C4E"/>
    <w:rsid w:val="355965DA"/>
    <w:rsid w:val="361C2353"/>
    <w:rsid w:val="3635547B"/>
    <w:rsid w:val="36746B61"/>
    <w:rsid w:val="36A9407C"/>
    <w:rsid w:val="36DE72D5"/>
    <w:rsid w:val="36FA1D41"/>
    <w:rsid w:val="372D051E"/>
    <w:rsid w:val="37875B1D"/>
    <w:rsid w:val="37C2178A"/>
    <w:rsid w:val="37CD35DE"/>
    <w:rsid w:val="37F50C06"/>
    <w:rsid w:val="380411EC"/>
    <w:rsid w:val="38084F02"/>
    <w:rsid w:val="3829480D"/>
    <w:rsid w:val="383529C2"/>
    <w:rsid w:val="383C5BD0"/>
    <w:rsid w:val="38536D3F"/>
    <w:rsid w:val="38651BE9"/>
    <w:rsid w:val="388008B3"/>
    <w:rsid w:val="388727CC"/>
    <w:rsid w:val="38A0684E"/>
    <w:rsid w:val="38E06D41"/>
    <w:rsid w:val="38E63823"/>
    <w:rsid w:val="38E72762"/>
    <w:rsid w:val="39024B57"/>
    <w:rsid w:val="391E61C3"/>
    <w:rsid w:val="392853F4"/>
    <w:rsid w:val="3955089B"/>
    <w:rsid w:val="39E7178F"/>
    <w:rsid w:val="3A06167E"/>
    <w:rsid w:val="3A6F42D5"/>
    <w:rsid w:val="3A82293D"/>
    <w:rsid w:val="3A9E2AD9"/>
    <w:rsid w:val="3B5B04B2"/>
    <w:rsid w:val="3B9A5007"/>
    <w:rsid w:val="3BC23F1A"/>
    <w:rsid w:val="3C223052"/>
    <w:rsid w:val="3C5503C9"/>
    <w:rsid w:val="3CC50AEE"/>
    <w:rsid w:val="3CD8469E"/>
    <w:rsid w:val="3CF36A2A"/>
    <w:rsid w:val="3D2E7413"/>
    <w:rsid w:val="3D515C28"/>
    <w:rsid w:val="3D966C01"/>
    <w:rsid w:val="3DA51E2F"/>
    <w:rsid w:val="3DB43891"/>
    <w:rsid w:val="3E4864CC"/>
    <w:rsid w:val="3EBD31E6"/>
    <w:rsid w:val="3ED15E5F"/>
    <w:rsid w:val="3EE00B8B"/>
    <w:rsid w:val="3F56446E"/>
    <w:rsid w:val="3F961152"/>
    <w:rsid w:val="3FAC0319"/>
    <w:rsid w:val="3FBC4178"/>
    <w:rsid w:val="401A56F9"/>
    <w:rsid w:val="40325295"/>
    <w:rsid w:val="408C6E25"/>
    <w:rsid w:val="40CA29DC"/>
    <w:rsid w:val="40F82E28"/>
    <w:rsid w:val="41585AC3"/>
    <w:rsid w:val="41B34CCB"/>
    <w:rsid w:val="41D00C05"/>
    <w:rsid w:val="41DB1250"/>
    <w:rsid w:val="420610DF"/>
    <w:rsid w:val="42784F38"/>
    <w:rsid w:val="429544E1"/>
    <w:rsid w:val="429A669A"/>
    <w:rsid w:val="42CE6929"/>
    <w:rsid w:val="42F71CEC"/>
    <w:rsid w:val="43E6767C"/>
    <w:rsid w:val="443B107F"/>
    <w:rsid w:val="44B14540"/>
    <w:rsid w:val="44BA7E1E"/>
    <w:rsid w:val="44BE79C3"/>
    <w:rsid w:val="453A44C6"/>
    <w:rsid w:val="45CA31DA"/>
    <w:rsid w:val="45EC6821"/>
    <w:rsid w:val="45F303D0"/>
    <w:rsid w:val="464004CF"/>
    <w:rsid w:val="46B51FCF"/>
    <w:rsid w:val="46BA0199"/>
    <w:rsid w:val="47062A9A"/>
    <w:rsid w:val="47993F84"/>
    <w:rsid w:val="47B83FA1"/>
    <w:rsid w:val="47BD666C"/>
    <w:rsid w:val="480A17DC"/>
    <w:rsid w:val="481C5974"/>
    <w:rsid w:val="4846796F"/>
    <w:rsid w:val="487A095F"/>
    <w:rsid w:val="49495158"/>
    <w:rsid w:val="49AA66DF"/>
    <w:rsid w:val="4A17114C"/>
    <w:rsid w:val="4A284A82"/>
    <w:rsid w:val="4A662E1D"/>
    <w:rsid w:val="4A7E32B4"/>
    <w:rsid w:val="4A99715A"/>
    <w:rsid w:val="4AE7217A"/>
    <w:rsid w:val="4AFC533A"/>
    <w:rsid w:val="4B1367B9"/>
    <w:rsid w:val="4B316DE7"/>
    <w:rsid w:val="4BA23F51"/>
    <w:rsid w:val="4C353BC7"/>
    <w:rsid w:val="4C5D54D6"/>
    <w:rsid w:val="4C7A41E4"/>
    <w:rsid w:val="4C814518"/>
    <w:rsid w:val="4C91315E"/>
    <w:rsid w:val="4CAD0872"/>
    <w:rsid w:val="4CCE50CA"/>
    <w:rsid w:val="4CEB1651"/>
    <w:rsid w:val="4CF52497"/>
    <w:rsid w:val="4CFC5090"/>
    <w:rsid w:val="4D3A24A4"/>
    <w:rsid w:val="4D594475"/>
    <w:rsid w:val="4DB06342"/>
    <w:rsid w:val="4DC729B3"/>
    <w:rsid w:val="4DEC01C6"/>
    <w:rsid w:val="4DF158ED"/>
    <w:rsid w:val="4E4D0205"/>
    <w:rsid w:val="4E873862"/>
    <w:rsid w:val="4EC83A06"/>
    <w:rsid w:val="4F2C3853"/>
    <w:rsid w:val="4F6B3677"/>
    <w:rsid w:val="4F7F20AA"/>
    <w:rsid w:val="4F873909"/>
    <w:rsid w:val="4FF617D6"/>
    <w:rsid w:val="4FF649F9"/>
    <w:rsid w:val="506B2DFC"/>
    <w:rsid w:val="50E64646"/>
    <w:rsid w:val="511F1374"/>
    <w:rsid w:val="516A6684"/>
    <w:rsid w:val="518C6DB2"/>
    <w:rsid w:val="51E04809"/>
    <w:rsid w:val="51E261D3"/>
    <w:rsid w:val="525B1064"/>
    <w:rsid w:val="52BB0D49"/>
    <w:rsid w:val="532C26FC"/>
    <w:rsid w:val="53322A76"/>
    <w:rsid w:val="53C54AA3"/>
    <w:rsid w:val="54A648D1"/>
    <w:rsid w:val="54E44ED6"/>
    <w:rsid w:val="55571991"/>
    <w:rsid w:val="56132360"/>
    <w:rsid w:val="566931AC"/>
    <w:rsid w:val="56B85F16"/>
    <w:rsid w:val="56F374FB"/>
    <w:rsid w:val="570E7622"/>
    <w:rsid w:val="57796E51"/>
    <w:rsid w:val="57E80074"/>
    <w:rsid w:val="584D19EF"/>
    <w:rsid w:val="588D3796"/>
    <w:rsid w:val="5936030B"/>
    <w:rsid w:val="59620232"/>
    <w:rsid w:val="597F641F"/>
    <w:rsid w:val="59A00F56"/>
    <w:rsid w:val="59B24039"/>
    <w:rsid w:val="5A31005C"/>
    <w:rsid w:val="5A32467E"/>
    <w:rsid w:val="5A3C4744"/>
    <w:rsid w:val="5AD27471"/>
    <w:rsid w:val="5B0E20D9"/>
    <w:rsid w:val="5B130E01"/>
    <w:rsid w:val="5B8D1AC1"/>
    <w:rsid w:val="5BA3592C"/>
    <w:rsid w:val="5C610721"/>
    <w:rsid w:val="5C8B6FF1"/>
    <w:rsid w:val="5CFE4143"/>
    <w:rsid w:val="5D3B1572"/>
    <w:rsid w:val="5E204AD7"/>
    <w:rsid w:val="5E445CC2"/>
    <w:rsid w:val="5E4C6102"/>
    <w:rsid w:val="5E6D4BC0"/>
    <w:rsid w:val="5ED06481"/>
    <w:rsid w:val="5EEA5BA3"/>
    <w:rsid w:val="5F3E69CE"/>
    <w:rsid w:val="5F48763E"/>
    <w:rsid w:val="6009519E"/>
    <w:rsid w:val="60581636"/>
    <w:rsid w:val="60AD4549"/>
    <w:rsid w:val="60AD5F5F"/>
    <w:rsid w:val="60E30438"/>
    <w:rsid w:val="60F9202B"/>
    <w:rsid w:val="612D3C7B"/>
    <w:rsid w:val="61826F89"/>
    <w:rsid w:val="61B51D80"/>
    <w:rsid w:val="623E2101"/>
    <w:rsid w:val="62947A1C"/>
    <w:rsid w:val="62CD6DE1"/>
    <w:rsid w:val="62D31602"/>
    <w:rsid w:val="62E70A4E"/>
    <w:rsid w:val="62FD4A9D"/>
    <w:rsid w:val="632C6FC4"/>
    <w:rsid w:val="633D546F"/>
    <w:rsid w:val="634B3FF6"/>
    <w:rsid w:val="6414316C"/>
    <w:rsid w:val="64460ECC"/>
    <w:rsid w:val="644F5E22"/>
    <w:rsid w:val="64681DB1"/>
    <w:rsid w:val="64902A98"/>
    <w:rsid w:val="64B410B0"/>
    <w:rsid w:val="64D843A5"/>
    <w:rsid w:val="652B7ADD"/>
    <w:rsid w:val="663B46C9"/>
    <w:rsid w:val="663F30CF"/>
    <w:rsid w:val="66B1186C"/>
    <w:rsid w:val="67413BF6"/>
    <w:rsid w:val="674212A6"/>
    <w:rsid w:val="6755359A"/>
    <w:rsid w:val="675C2222"/>
    <w:rsid w:val="67A7418D"/>
    <w:rsid w:val="67D27C62"/>
    <w:rsid w:val="67DF6978"/>
    <w:rsid w:val="68412A6B"/>
    <w:rsid w:val="69193357"/>
    <w:rsid w:val="694E04D2"/>
    <w:rsid w:val="698044A5"/>
    <w:rsid w:val="6A114647"/>
    <w:rsid w:val="6A510F7A"/>
    <w:rsid w:val="6A6B1CE7"/>
    <w:rsid w:val="6A7E1356"/>
    <w:rsid w:val="6AA67E64"/>
    <w:rsid w:val="6B0D712F"/>
    <w:rsid w:val="6B28575B"/>
    <w:rsid w:val="6B3A23C3"/>
    <w:rsid w:val="6BA11D8E"/>
    <w:rsid w:val="6BE4485D"/>
    <w:rsid w:val="6C3A3E01"/>
    <w:rsid w:val="6C3B431E"/>
    <w:rsid w:val="6C5F105B"/>
    <w:rsid w:val="6C857DA8"/>
    <w:rsid w:val="6CA548BC"/>
    <w:rsid w:val="6CC1587C"/>
    <w:rsid w:val="6D0646EB"/>
    <w:rsid w:val="6D2B74AA"/>
    <w:rsid w:val="6D697BC3"/>
    <w:rsid w:val="6D7111BC"/>
    <w:rsid w:val="6DCA5CB9"/>
    <w:rsid w:val="6DF93947"/>
    <w:rsid w:val="6E280F38"/>
    <w:rsid w:val="6E472A13"/>
    <w:rsid w:val="6E8A21F7"/>
    <w:rsid w:val="6EA410B2"/>
    <w:rsid w:val="6ED837EB"/>
    <w:rsid w:val="6EE576BA"/>
    <w:rsid w:val="6F2867BD"/>
    <w:rsid w:val="6F44559B"/>
    <w:rsid w:val="6FC43175"/>
    <w:rsid w:val="6FF731B6"/>
    <w:rsid w:val="703A2630"/>
    <w:rsid w:val="709C594C"/>
    <w:rsid w:val="718F1BBF"/>
    <w:rsid w:val="71D05F49"/>
    <w:rsid w:val="71ED7728"/>
    <w:rsid w:val="726760BC"/>
    <w:rsid w:val="72D65439"/>
    <w:rsid w:val="73090FE2"/>
    <w:rsid w:val="73265607"/>
    <w:rsid w:val="73A60CBE"/>
    <w:rsid w:val="73AA4E32"/>
    <w:rsid w:val="73E40269"/>
    <w:rsid w:val="73F82EA2"/>
    <w:rsid w:val="7435596C"/>
    <w:rsid w:val="745F4234"/>
    <w:rsid w:val="746C72EA"/>
    <w:rsid w:val="74722C9A"/>
    <w:rsid w:val="7475358D"/>
    <w:rsid w:val="747E452E"/>
    <w:rsid w:val="74FA5A4A"/>
    <w:rsid w:val="755F161D"/>
    <w:rsid w:val="75884210"/>
    <w:rsid w:val="75BD4A84"/>
    <w:rsid w:val="75D454CE"/>
    <w:rsid w:val="75EA7003"/>
    <w:rsid w:val="760D56E2"/>
    <w:rsid w:val="76260D51"/>
    <w:rsid w:val="76EE218C"/>
    <w:rsid w:val="77250641"/>
    <w:rsid w:val="772E0B03"/>
    <w:rsid w:val="778A542A"/>
    <w:rsid w:val="77C177F8"/>
    <w:rsid w:val="77EF5E51"/>
    <w:rsid w:val="77F65DDE"/>
    <w:rsid w:val="78EF6DB3"/>
    <w:rsid w:val="792718FA"/>
    <w:rsid w:val="79332F0B"/>
    <w:rsid w:val="797F74A2"/>
    <w:rsid w:val="798E18C9"/>
    <w:rsid w:val="79A56E86"/>
    <w:rsid w:val="79C11BD2"/>
    <w:rsid w:val="79E8078D"/>
    <w:rsid w:val="7A3422EE"/>
    <w:rsid w:val="7A4774F3"/>
    <w:rsid w:val="7A634533"/>
    <w:rsid w:val="7AA678C6"/>
    <w:rsid w:val="7B113087"/>
    <w:rsid w:val="7B5441DD"/>
    <w:rsid w:val="7B9E2E7D"/>
    <w:rsid w:val="7BCD1523"/>
    <w:rsid w:val="7BEA35A6"/>
    <w:rsid w:val="7C050B07"/>
    <w:rsid w:val="7C9E7A01"/>
    <w:rsid w:val="7CB80A66"/>
    <w:rsid w:val="7CF92699"/>
    <w:rsid w:val="7D2E186E"/>
    <w:rsid w:val="7D3B525E"/>
    <w:rsid w:val="7D8F4D8B"/>
    <w:rsid w:val="7DBA4407"/>
    <w:rsid w:val="7DC4445F"/>
    <w:rsid w:val="7DD14D63"/>
    <w:rsid w:val="7E0773D0"/>
    <w:rsid w:val="7E431A61"/>
    <w:rsid w:val="7E5D66DD"/>
    <w:rsid w:val="7E734104"/>
    <w:rsid w:val="7E8C0561"/>
    <w:rsid w:val="7EAB2A75"/>
    <w:rsid w:val="7ED317FE"/>
    <w:rsid w:val="7EEE5FCC"/>
    <w:rsid w:val="7F0A41FB"/>
    <w:rsid w:val="7F180AE2"/>
    <w:rsid w:val="7F2E279D"/>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2024-05-10T06:12:04Z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B23D1E1BEDA84C80833B23EF1A422B10</vt:lpwstr>
  </property>
</Properties>
</file>